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kinsoku/>
        <w:wordWrap/>
        <w:autoSpaceDE/>
        <w:autoSpaceDN/>
        <w:bidi w:val="0"/>
        <w:spacing w:line="579" w:lineRule="exact"/>
        <w:rPr>
          <w:rFonts w:hint="eastAsia" w:ascii="黑体" w:hAnsi="黑体" w:eastAsia="黑体" w:cs="黑体"/>
          <w:b w:val="0"/>
          <w:bCs w:val="0"/>
          <w:sz w:val="32"/>
          <w:szCs w:val="32"/>
          <w:highlight w:val="none"/>
        </w:rPr>
      </w:pPr>
      <w:r>
        <w:rPr>
          <w:rFonts w:hint="eastAsia" w:ascii="黑体" w:hAnsi="黑体" w:eastAsia="黑体" w:cs="黑体"/>
          <w:b w:val="0"/>
          <w:bCs w:val="0"/>
          <w:sz w:val="32"/>
          <w:szCs w:val="32"/>
          <w:highlight w:val="none"/>
        </w:rPr>
        <w:t>附件1</w:t>
      </w:r>
    </w:p>
    <w:p>
      <w:pPr>
        <w:keepNext w:val="0"/>
        <w:keepLines w:val="0"/>
        <w:pageBreakBefore w:val="0"/>
        <w:shd w:val="clear"/>
        <w:kinsoku/>
        <w:wordWrap/>
        <w:autoSpaceDE/>
        <w:autoSpaceDN/>
        <w:bidi w:val="0"/>
        <w:spacing w:line="579" w:lineRule="exact"/>
        <w:rPr>
          <w:rFonts w:hint="eastAsia" w:ascii="仿宋_GB2312" w:eastAsia="仿宋_GB2312"/>
          <w:b w:val="0"/>
          <w:bCs w:val="0"/>
          <w:sz w:val="32"/>
          <w:szCs w:val="32"/>
          <w:highlight w:val="none"/>
        </w:rPr>
      </w:pPr>
    </w:p>
    <w:p>
      <w:pPr>
        <w:keepNext w:val="0"/>
        <w:keepLines w:val="0"/>
        <w:pageBreakBefore w:val="0"/>
        <w:widowControl w:val="0"/>
        <w:shd w:val="clear"/>
        <w:kinsoku/>
        <w:wordWrap/>
        <w:overflowPunct/>
        <w:topLinePunct w:val="0"/>
        <w:autoSpaceDE/>
        <w:autoSpaceDN/>
        <w:bidi w:val="0"/>
        <w:adjustRightInd/>
        <w:snapToGrid w:val="0"/>
        <w:spacing w:line="579" w:lineRule="exact"/>
        <w:jc w:val="center"/>
        <w:textAlignment w:val="center"/>
        <w:rPr>
          <w:rFonts w:hint="eastAsia" w:ascii="Times New Roman" w:hAnsi="Times New Roman" w:eastAsia="方正小标宋简体" w:cs="Times New Roman"/>
          <w:b w:val="0"/>
          <w:bCs w:val="0"/>
          <w:color w:val="auto"/>
          <w:sz w:val="44"/>
          <w:szCs w:val="24"/>
          <w:highlight w:val="none"/>
          <w:lang w:eastAsia="zh-CN"/>
        </w:rPr>
      </w:pPr>
      <w:r>
        <w:rPr>
          <w:rFonts w:ascii="Times New Roman" w:hAnsi="Times New Roman" w:eastAsia="方正小标宋简体" w:cs="Times New Roman"/>
          <w:b w:val="0"/>
          <w:bCs w:val="0"/>
          <w:color w:val="auto"/>
          <w:sz w:val="44"/>
          <w:szCs w:val="24"/>
          <w:highlight w:val="none"/>
        </w:rPr>
        <w:t>四川省</w:t>
      </w:r>
      <w:r>
        <w:rPr>
          <w:rFonts w:hint="eastAsia" w:ascii="Times New Roman" w:hAnsi="Times New Roman" w:eastAsia="方正小标宋简体" w:cs="Times New Roman"/>
          <w:b w:val="0"/>
          <w:bCs w:val="0"/>
          <w:color w:val="auto"/>
          <w:sz w:val="44"/>
          <w:szCs w:val="24"/>
          <w:highlight w:val="none"/>
          <w:lang w:eastAsia="zh-CN"/>
        </w:rPr>
        <w:t>《无障碍环境建设条例》实施办法</w:t>
      </w:r>
    </w:p>
    <w:p>
      <w:pPr>
        <w:keepNext w:val="0"/>
        <w:keepLines w:val="0"/>
        <w:pageBreakBefore w:val="0"/>
        <w:widowControl w:val="0"/>
        <w:shd w:val="clear"/>
        <w:kinsoku/>
        <w:wordWrap/>
        <w:overflowPunct/>
        <w:topLinePunct w:val="0"/>
        <w:autoSpaceDE/>
        <w:autoSpaceDN/>
        <w:bidi w:val="0"/>
        <w:adjustRightInd/>
        <w:snapToGrid w:val="0"/>
        <w:spacing w:line="579" w:lineRule="exact"/>
        <w:jc w:val="center"/>
        <w:textAlignment w:val="center"/>
        <w:rPr>
          <w:rFonts w:hint="eastAsia" w:ascii="Times New Roman" w:hAnsi="Times New Roman" w:eastAsia="方正小标宋简体" w:cs="Times New Roman"/>
          <w:b w:val="0"/>
          <w:bCs w:val="0"/>
          <w:color w:val="auto"/>
          <w:sz w:val="44"/>
          <w:szCs w:val="24"/>
          <w:highlight w:val="none"/>
          <w:lang w:val="en-US" w:eastAsia="zh-CN"/>
        </w:rPr>
      </w:pPr>
      <w:r>
        <w:rPr>
          <w:rFonts w:hint="eastAsia" w:ascii="Times New Roman" w:hAnsi="Times New Roman" w:eastAsia="方正小标宋简体" w:cs="Times New Roman"/>
          <w:b w:val="0"/>
          <w:bCs w:val="0"/>
          <w:color w:val="auto"/>
          <w:sz w:val="44"/>
          <w:szCs w:val="24"/>
          <w:highlight w:val="none"/>
          <w:lang w:eastAsia="zh-CN"/>
        </w:rPr>
        <w:t>（征求意见稿）</w:t>
      </w:r>
    </w:p>
    <w:p>
      <w:pPr>
        <w:keepNext w:val="0"/>
        <w:keepLines w:val="0"/>
        <w:pageBreakBefore w:val="0"/>
        <w:widowControl w:val="0"/>
        <w:shd w:val="clear"/>
        <w:kinsoku/>
        <w:wordWrap/>
        <w:overflowPunct/>
        <w:topLinePunct w:val="0"/>
        <w:autoSpaceDE/>
        <w:autoSpaceDN/>
        <w:bidi w:val="0"/>
        <w:adjustRightInd/>
        <w:snapToGrid w:val="0"/>
        <w:spacing w:line="579" w:lineRule="exact"/>
        <w:jc w:val="center"/>
        <w:textAlignment w:val="center"/>
        <w:rPr>
          <w:rFonts w:ascii="Times New Roman" w:hAnsi="Times New Roman" w:eastAsia="楷体" w:cs="Times New Roman"/>
          <w:b w:val="0"/>
          <w:bCs w:val="0"/>
          <w:color w:val="auto"/>
          <w:sz w:val="32"/>
          <w:szCs w:val="22"/>
          <w:highlight w:val="none"/>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宋体" w:hAnsi="宋体" w:cs="宋体"/>
          <w:color w:val="000000"/>
          <w:kern w:val="0"/>
          <w:sz w:val="30"/>
          <w:szCs w:val="30"/>
          <w:highlight w:val="none"/>
          <w:lang w:bidi="ar"/>
        </w:rPr>
      </w:pPr>
      <w:r>
        <w:rPr>
          <w:rFonts w:hint="eastAsia" w:ascii="黑体" w:hAnsi="黑体" w:eastAsia="黑体" w:cs="黑体"/>
          <w:b/>
          <w:bCs/>
          <w:color w:val="000000"/>
          <w:kern w:val="0"/>
          <w:sz w:val="32"/>
          <w:szCs w:val="32"/>
          <w:highlight w:val="none"/>
          <w:lang w:bidi="ar"/>
        </w:rPr>
        <w:t>第一章</w:t>
      </w:r>
      <w:r>
        <w:rPr>
          <w:rFonts w:hint="eastAsia" w:ascii="黑体" w:hAnsi="黑体" w:eastAsia="黑体" w:cs="黑体"/>
          <w:b/>
          <w:bCs/>
          <w:color w:val="000000"/>
          <w:kern w:val="0"/>
          <w:sz w:val="32"/>
          <w:szCs w:val="32"/>
          <w:highlight w:val="none"/>
          <w:lang w:val="en-US" w:eastAsia="zh-CN" w:bidi="ar"/>
        </w:rPr>
        <w:t xml:space="preserve">  </w:t>
      </w:r>
      <w:r>
        <w:rPr>
          <w:rFonts w:hint="eastAsia" w:ascii="黑体" w:hAnsi="黑体" w:eastAsia="黑体" w:cs="黑体"/>
          <w:b/>
          <w:bCs/>
          <w:color w:val="000000"/>
          <w:kern w:val="0"/>
          <w:sz w:val="32"/>
          <w:szCs w:val="32"/>
          <w:highlight w:val="none"/>
          <w:lang w:bidi="ar"/>
        </w:rPr>
        <w:t>总则</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第一条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为了创造无障碍环境，保障残疾人、老年人等社会成员平等参与社会生活，促进社会文明进步，根据《中华人民共和国残疾人保障法》《无障碍环境建设条例》《四川省老年人权益保障条例》等有关法律、法规，结合本省实际，制定本办法。</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kern w:val="0"/>
          <w:sz w:val="32"/>
          <w:szCs w:val="32"/>
          <w:highlight w:val="none"/>
          <w:lang w:bidi="ar"/>
        </w:rPr>
        <w:t>第二条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本省行政区域内无障碍环境建设活动，适用本办法。</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sz w:val="32"/>
          <w:szCs w:val="32"/>
          <w:highlight w:val="none"/>
        </w:rPr>
      </w:pPr>
      <w:r>
        <w:rPr>
          <w:rFonts w:hint="eastAsia" w:ascii="楷体" w:hAnsi="楷体" w:eastAsia="楷体" w:cs="楷体"/>
          <w:b/>
          <w:bCs/>
          <w:color w:val="auto"/>
          <w:kern w:val="0"/>
          <w:sz w:val="32"/>
          <w:szCs w:val="32"/>
          <w:highlight w:val="none"/>
          <w:lang w:bidi="ar"/>
        </w:rPr>
        <w:t>第三条</w:t>
      </w:r>
      <w:r>
        <w:rPr>
          <w:rFonts w:hint="eastAsia" w:ascii="宋体" w:hAnsi="宋体" w:cs="宋体"/>
          <w:b/>
          <w:bCs/>
          <w:color w:val="auto"/>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本办法所称无障碍环境建设，是指为便于残疾人、老年人等社会成员自主安全地通行道路、出入相关建筑物、搭乘公共交通工具、交流信息、获得公共服务、社区服务、便利的居家生活所进行的建设活动。</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eastAsiaTheme="minorEastAsia"/>
          <w:color w:val="000000"/>
          <w:kern w:val="0"/>
          <w:sz w:val="32"/>
          <w:szCs w:val="32"/>
          <w:highlight w:val="none"/>
          <w:lang w:eastAsia="zh-CN" w:bidi="ar"/>
        </w:rPr>
      </w:pPr>
      <w:r>
        <w:rPr>
          <w:rFonts w:hint="eastAsia" w:ascii="楷体" w:hAnsi="楷体" w:eastAsia="楷体" w:cs="楷体"/>
          <w:b/>
          <w:bCs/>
          <w:color w:val="auto"/>
          <w:kern w:val="0"/>
          <w:sz w:val="32"/>
          <w:szCs w:val="32"/>
          <w:highlight w:val="none"/>
          <w:lang w:bidi="ar"/>
        </w:rPr>
        <w:t>第四条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无障碍环境建设应当与经济和社会发展水平相适应，遵循实用、易行、广泛受益的原则。</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kern w:val="0"/>
          <w:sz w:val="32"/>
          <w:szCs w:val="32"/>
          <w:highlight w:val="none"/>
          <w:lang w:bidi="ar"/>
        </w:rPr>
        <w:t>第五条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sz w:val="32"/>
          <w:szCs w:val="32"/>
          <w:highlight w:val="none"/>
          <w:lang w:val="en-US" w:eastAsia="zh-CN"/>
        </w:rPr>
        <w:t>县级以上地方人民政府负责组织编制实施无障碍环境建设发展规划，无障碍环境建设发展规划相关内容应当纳入当地国民经济和社会发展规划及国土空间规划。</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县级以上地方人民政府应当依照有关规定，多渠道筹措资金，用于无障碍环境建设。</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sz w:val="32"/>
          <w:szCs w:val="32"/>
          <w:highlight w:val="none"/>
          <w:lang w:val="en-US" w:eastAsia="zh-CN"/>
        </w:rPr>
        <w:t>县级以上地方人民政府应当建立健全统筹推进、督促落实优化无障碍环境建设工作的相关机制，及时协调、解决优化无障碍环境建设工作中的重大问题。</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sz w:val="32"/>
          <w:szCs w:val="32"/>
          <w:highlight w:val="none"/>
        </w:rPr>
      </w:pPr>
      <w:r>
        <w:rPr>
          <w:rFonts w:hint="eastAsia" w:ascii="楷体" w:hAnsi="楷体" w:eastAsia="楷体" w:cs="楷体"/>
          <w:b/>
          <w:bCs/>
          <w:color w:val="auto"/>
          <w:kern w:val="0"/>
          <w:sz w:val="32"/>
          <w:szCs w:val="32"/>
          <w:highlight w:val="none"/>
          <w:lang w:bidi="ar"/>
        </w:rPr>
        <w:t>第六条</w:t>
      </w:r>
      <w:r>
        <w:rPr>
          <w:rFonts w:hint="eastAsia" w:ascii="宋体" w:hAnsi="宋体" w:cs="宋体"/>
          <w:b/>
          <w:bCs/>
          <w:color w:val="auto"/>
          <w:kern w:val="0"/>
          <w:sz w:val="32"/>
          <w:szCs w:val="32"/>
          <w:highlight w:val="none"/>
          <w:lang w:val="en-US" w:eastAsia="zh-CN" w:bidi="ar"/>
        </w:rPr>
        <w:t xml:space="preserve"> </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sz w:val="32"/>
          <w:szCs w:val="32"/>
          <w:highlight w:val="none"/>
          <w:lang w:val="en-US" w:eastAsia="zh-CN"/>
        </w:rPr>
        <w:t>县级以上地方人民政府住房和城乡建设主管部门负责本行政区域内无障碍工程建设活动的监督管理工作，发展改革、经济和信息化、教育、公安、民政、财政、自然资源、交通运输、文化和旅游、卫生健康、市场监管、通信管理等有关部门和残联等组织在各自职责范围内，做好无障碍环境建设相关工作。</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sz w:val="32"/>
          <w:szCs w:val="32"/>
          <w:highlight w:val="none"/>
          <w:lang w:val="en-US" w:eastAsia="zh-CN"/>
        </w:rPr>
        <w:t>乡（镇）人民政府、街道办事处在职责范围内承担无障碍环境建设相关工作。</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3" w:firstLineChars="200"/>
        <w:jc w:val="left"/>
        <w:textAlignment w:val="auto"/>
        <w:rPr>
          <w:rFonts w:hint="eastAsia" w:ascii="宋体" w:hAnsi="宋体" w:eastAsia="宋体" w:cs="宋体"/>
          <w:b w:val="0"/>
          <w:bCs/>
          <w:color w:val="000000"/>
          <w:spacing w:val="10"/>
          <w:kern w:val="0"/>
          <w:sz w:val="32"/>
          <w:szCs w:val="32"/>
          <w:highlight w:val="none"/>
          <w:u w:val="none"/>
          <w:lang w:eastAsia="zh-CN" w:bidi="ar"/>
        </w:rPr>
      </w:pPr>
      <w:r>
        <w:rPr>
          <w:rFonts w:hint="eastAsia" w:ascii="楷体" w:hAnsi="楷体" w:eastAsia="楷体" w:cs="楷体"/>
          <w:b/>
          <w:bCs/>
          <w:color w:val="000000"/>
          <w:kern w:val="0"/>
          <w:sz w:val="32"/>
          <w:szCs w:val="32"/>
          <w:highlight w:val="none"/>
          <w:lang w:val="en-US" w:eastAsia="zh-CN" w:bidi="ar"/>
        </w:rPr>
        <w:t>第七条</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民政、卫生健康主管部门和残联等组织应当收集和反映残疾人、老年人等社会成员的无障碍需求，向政府及其有关部门提出加强和改进无障碍环境建设的意见和建议。民政、卫生健康主管部门和残疾人组织应当聘请残疾人、老年人等有关社会成员代表作为监督员，对无障碍环境建设和设施使用情况实施监督。</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第八条</w:t>
      </w:r>
      <w:r>
        <w:rPr>
          <w:rFonts w:hint="eastAsia" w:ascii="宋体" w:hAnsi="宋体" w:cs="宋体"/>
          <w:b/>
          <w:bCs/>
          <w:color w:val="auto"/>
          <w:kern w:val="0"/>
          <w:sz w:val="32"/>
          <w:szCs w:val="32"/>
          <w:highlight w:val="none"/>
          <w:lang w:val="en-US" w:eastAsia="zh-CN" w:bidi="ar"/>
        </w:rPr>
        <w:t xml:space="preserve"> </w:t>
      </w:r>
      <w:r>
        <w:rPr>
          <w:rFonts w:hint="eastAsia" w:ascii="宋体" w:hAnsi="宋体" w:cs="宋体"/>
          <w:b/>
          <w:bCs/>
          <w:color w:val="000000"/>
          <w:kern w:val="0"/>
          <w:sz w:val="32"/>
          <w:szCs w:val="32"/>
          <w:highlight w:val="none"/>
          <w:lang w:bidi="ar"/>
        </w:rPr>
        <w:t xml:space="preserve"> </w:t>
      </w:r>
      <w:r>
        <w:rPr>
          <w:rFonts w:hint="eastAsia" w:ascii="仿宋_GB2312" w:hAnsi="仿宋_GB2312" w:eastAsia="仿宋_GB2312" w:cs="仿宋_GB2312"/>
          <w:sz w:val="32"/>
          <w:szCs w:val="32"/>
          <w:highlight w:val="none"/>
          <w:lang w:val="en-US" w:eastAsia="zh-CN"/>
        </w:rPr>
        <w:t>县级以上地方人民政府有关部门和残联等组织应当倡导无障碍环境建设理念，采取多种形式，宣传和普及无障碍环境知识，提高全体社会成员的无障碍环境意识。</w:t>
      </w:r>
      <w:r>
        <w:rPr>
          <w:rFonts w:hint="eastAsia" w:ascii="宋体" w:hAnsi="宋体" w:cs="宋体"/>
          <w:color w:val="000000"/>
          <w:kern w:val="0"/>
          <w:sz w:val="32"/>
          <w:szCs w:val="32"/>
          <w:highlight w:val="none"/>
          <w:lang w:bidi="ar"/>
        </w:rPr>
        <w:t xml:space="preserve"> </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kern w:val="0"/>
          <w:sz w:val="32"/>
          <w:szCs w:val="32"/>
          <w:highlight w:val="none"/>
          <w:lang w:bidi="ar"/>
        </w:rPr>
        <w:t>第九条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 xml:space="preserve">鼓励公民、法人及单位和个人为无障碍环境建设提供捐助、扶持和志愿者服务，为残疾人、老年人等社会成员出行、交流信息等提供帮助。 </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b w:val="0"/>
          <w:bCs/>
          <w:color w:val="000000"/>
          <w:kern w:val="0"/>
          <w:sz w:val="32"/>
          <w:szCs w:val="32"/>
          <w:highlight w:val="none"/>
          <w:u w:val="none"/>
          <w:lang w:bidi="ar"/>
        </w:rPr>
      </w:pPr>
      <w:r>
        <w:rPr>
          <w:rFonts w:hint="eastAsia" w:ascii="仿宋_GB2312" w:hAnsi="仿宋_GB2312" w:eastAsia="仿宋_GB2312" w:cs="仿宋_GB2312"/>
          <w:sz w:val="32"/>
          <w:szCs w:val="32"/>
          <w:highlight w:val="none"/>
          <w:lang w:val="en-US" w:eastAsia="zh-CN"/>
        </w:rPr>
        <w:t>县级以上地方人民政府有关部门应当加强无障碍学科建设和行业培训工作，支持高等院校、专业机构开展无障碍理论与技术研究，鼓励国际交流与合作。</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kern w:val="0"/>
          <w:sz w:val="32"/>
          <w:szCs w:val="32"/>
          <w:highlight w:val="none"/>
          <w:lang w:bidi="ar"/>
        </w:rPr>
        <w:t>第十条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sz w:val="32"/>
          <w:szCs w:val="32"/>
          <w:highlight w:val="none"/>
          <w:lang w:val="en-US" w:eastAsia="zh-CN"/>
        </w:rPr>
        <w:t xml:space="preserve">住房和城乡建设、经济和信息化、教育、公安、民政、交通运输、文化和旅游、市场监管、广播电视等有关部门应当通过开展执法检查、调查评估和征求社会意见等方式，加强对无障碍环境建设工作的监督管理和指导。 </w:t>
      </w:r>
    </w:p>
    <w:p>
      <w:pPr>
        <w:keepNext w:val="0"/>
        <w:keepLines w:val="0"/>
        <w:pageBreakBefore w:val="0"/>
        <w:widowControl/>
        <w:numPr>
          <w:ilvl w:val="0"/>
          <w:numId w:val="0"/>
        </w:numPr>
        <w:shd w:val="clear"/>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任何单位和个人有权就无障碍环境建设情况进行投诉和举报。</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第十</w:t>
      </w:r>
      <w:r>
        <w:rPr>
          <w:rFonts w:hint="eastAsia" w:ascii="楷体" w:hAnsi="楷体" w:eastAsia="楷体" w:cs="楷体"/>
          <w:b/>
          <w:bCs/>
          <w:color w:val="auto"/>
          <w:kern w:val="0"/>
          <w:sz w:val="32"/>
          <w:szCs w:val="32"/>
          <w:highlight w:val="none"/>
          <w:lang w:eastAsia="zh-CN" w:bidi="ar"/>
        </w:rPr>
        <w:t>一</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对在无障碍环境建设工作中作出显著成绩的单位和个人，县级以上地方人民政府应当按照国家有关规定给予表彰和奖励。</w:t>
      </w:r>
      <w:r>
        <w:rPr>
          <w:rFonts w:hint="eastAsia" w:ascii="宋体" w:hAnsi="宋体" w:cs="宋体"/>
          <w:b/>
          <w:bCs/>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宋体" w:hAnsi="宋体" w:cs="宋体"/>
          <w:b/>
          <w:bCs/>
          <w:color w:val="000000"/>
          <w:kern w:val="0"/>
          <w:sz w:val="32"/>
          <w:szCs w:val="32"/>
          <w:highlight w:val="none"/>
          <w:lang w:bidi="ar"/>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黑体" w:hAnsi="黑体" w:eastAsia="黑体" w:cs="黑体"/>
          <w:b/>
          <w:bCs/>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第二章 无障碍设施建设</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楷体" w:hAnsi="楷体" w:eastAsia="楷体" w:cs="楷体"/>
          <w:b/>
          <w:bCs/>
          <w:color w:val="auto"/>
          <w:kern w:val="0"/>
          <w:sz w:val="32"/>
          <w:szCs w:val="32"/>
          <w:highlight w:val="none"/>
          <w:lang w:bidi="ar"/>
        </w:rPr>
        <w:t>第十</w:t>
      </w:r>
      <w:r>
        <w:rPr>
          <w:rFonts w:hint="eastAsia" w:ascii="楷体" w:hAnsi="楷体" w:eastAsia="楷体" w:cs="楷体"/>
          <w:b/>
          <w:bCs/>
          <w:color w:val="auto"/>
          <w:kern w:val="0"/>
          <w:sz w:val="32"/>
          <w:szCs w:val="32"/>
          <w:highlight w:val="none"/>
          <w:lang w:eastAsia="zh-CN" w:bidi="ar"/>
        </w:rPr>
        <w:t>二</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sz w:val="32"/>
          <w:szCs w:val="32"/>
          <w:highlight w:val="none"/>
          <w:lang w:val="en-US" w:eastAsia="zh-CN"/>
        </w:rPr>
        <w:t>城镇新建、改建、扩建道路、公共交通设施、公共建筑、居住区、居住建筑、公共活动场所，应当按照无障碍设施工程建设有关标准，建设配套的无障碍设施。</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无障碍设施工程应当与主体工程同步设计、同步施工、同步验收投入使用。新建的无障碍设施应当与周边的无障碍设施相衔接。 </w:t>
      </w:r>
    </w:p>
    <w:p>
      <w:pPr>
        <w:pStyle w:val="6"/>
        <w:keepNext w:val="0"/>
        <w:keepLines w:val="0"/>
        <w:pageBreakBefore w:val="0"/>
        <w:widowControl/>
        <w:shd w:val="clear"/>
        <w:kinsoku/>
        <w:wordWrap/>
        <w:overflowPunct/>
        <w:topLinePunct w:val="0"/>
        <w:autoSpaceDE/>
        <w:autoSpaceDN/>
        <w:bidi w:val="0"/>
        <w:spacing w:before="0" w:beforeAutospacing="0" w:after="0" w:afterAutospacing="0" w:line="579" w:lineRule="exact"/>
        <w:ind w:firstLine="640" w:firstLineChars="200"/>
        <w:textAlignment w:val="auto"/>
        <w:rPr>
          <w:rFonts w:hint="eastAsia" w:ascii="宋体" w:hAnsi="宋体" w:cs="宋体"/>
          <w:color w:val="000000"/>
          <w:sz w:val="32"/>
          <w:szCs w:val="32"/>
          <w:highlight w:val="none"/>
          <w:u w:val="none"/>
          <w:lang w:bidi="ar"/>
        </w:rPr>
      </w:pPr>
      <w:r>
        <w:rPr>
          <w:rFonts w:hint="eastAsia" w:ascii="仿宋_GB2312" w:hAnsi="仿宋_GB2312" w:eastAsia="仿宋_GB2312" w:cs="仿宋_GB2312"/>
          <w:kern w:val="2"/>
          <w:sz w:val="32"/>
          <w:szCs w:val="32"/>
          <w:highlight w:val="none"/>
          <w:lang w:val="en-US" w:eastAsia="zh-CN" w:bidi="ar-SA"/>
        </w:rPr>
        <w:t>乡、村的建设和发展,应当逐步达到无障碍设施工程建设标准。</w:t>
      </w:r>
      <w:r>
        <w:rPr>
          <w:rFonts w:hint="eastAsia" w:ascii="宋体" w:hAnsi="宋体" w:cs="宋体"/>
          <w:color w:val="000000"/>
          <w:sz w:val="32"/>
          <w:szCs w:val="32"/>
          <w:highlight w:val="none"/>
          <w:u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000000"/>
          <w:kern w:val="0"/>
          <w:sz w:val="32"/>
          <w:szCs w:val="32"/>
          <w:highlight w:val="none"/>
          <w:lang w:bidi="ar"/>
        </w:rPr>
        <w:t>第十</w:t>
      </w:r>
      <w:r>
        <w:rPr>
          <w:rFonts w:hint="eastAsia" w:ascii="楷体" w:hAnsi="楷体" w:eastAsia="楷体" w:cs="楷体"/>
          <w:b/>
          <w:bCs/>
          <w:color w:val="000000"/>
          <w:kern w:val="0"/>
          <w:sz w:val="32"/>
          <w:szCs w:val="32"/>
          <w:highlight w:val="none"/>
          <w:lang w:eastAsia="zh-CN" w:bidi="ar"/>
        </w:rPr>
        <w:t>三</w:t>
      </w:r>
      <w:r>
        <w:rPr>
          <w:rFonts w:hint="eastAsia" w:ascii="楷体" w:hAnsi="楷体" w:eastAsia="楷体" w:cs="楷体"/>
          <w:b/>
          <w:bCs/>
          <w:color w:val="000000"/>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建设工程设计单位应当按照</w:t>
      </w:r>
      <w:r>
        <w:rPr>
          <w:rFonts w:hint="default" w:ascii="仿宋_GB2312" w:hAnsi="仿宋_GB2312" w:eastAsia="仿宋_GB2312" w:cs="仿宋_GB2312"/>
          <w:kern w:val="2"/>
          <w:sz w:val="32"/>
          <w:szCs w:val="32"/>
          <w:highlight w:val="none"/>
          <w:lang w:val="en-US" w:eastAsia="zh-CN" w:bidi="ar-SA"/>
        </w:rPr>
        <w:t>无障碍设施</w:t>
      </w:r>
      <w:r>
        <w:rPr>
          <w:rFonts w:hint="eastAsia" w:ascii="仿宋_GB2312" w:hAnsi="仿宋_GB2312" w:eastAsia="仿宋_GB2312" w:cs="仿宋_GB2312"/>
          <w:kern w:val="2"/>
          <w:sz w:val="32"/>
          <w:szCs w:val="32"/>
          <w:highlight w:val="none"/>
          <w:lang w:val="en-US" w:eastAsia="zh-CN" w:bidi="ar-SA"/>
        </w:rPr>
        <w:t>工程建设标准，设计无障碍设施。施工图设计文件审查机构应当按照</w:t>
      </w:r>
      <w:r>
        <w:rPr>
          <w:rFonts w:hint="default" w:ascii="仿宋_GB2312" w:hAnsi="仿宋_GB2312" w:eastAsia="仿宋_GB2312" w:cs="仿宋_GB2312"/>
          <w:kern w:val="2"/>
          <w:sz w:val="32"/>
          <w:szCs w:val="32"/>
          <w:highlight w:val="none"/>
          <w:lang w:val="en-US" w:eastAsia="zh-CN" w:bidi="ar-SA"/>
        </w:rPr>
        <w:t>无障碍设施</w:t>
      </w:r>
      <w:r>
        <w:rPr>
          <w:rFonts w:hint="eastAsia" w:ascii="仿宋_GB2312" w:hAnsi="仿宋_GB2312" w:eastAsia="仿宋_GB2312" w:cs="仿宋_GB2312"/>
          <w:kern w:val="2"/>
          <w:sz w:val="32"/>
          <w:szCs w:val="32"/>
          <w:highlight w:val="none"/>
          <w:lang w:val="en-US" w:eastAsia="zh-CN" w:bidi="ar-SA"/>
        </w:rPr>
        <w:t>工程建设标准，对施工图设计文件进行审查。</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sz w:val="32"/>
          <w:szCs w:val="32"/>
          <w:highlight w:val="none"/>
        </w:rPr>
      </w:pPr>
      <w:r>
        <w:rPr>
          <w:rFonts w:hint="eastAsia" w:ascii="仿宋_GB2312" w:hAnsi="仿宋_GB2312" w:eastAsia="仿宋_GB2312" w:cs="仿宋_GB2312"/>
          <w:kern w:val="2"/>
          <w:sz w:val="32"/>
          <w:szCs w:val="32"/>
          <w:highlight w:val="none"/>
          <w:lang w:val="en-US" w:eastAsia="zh-CN" w:bidi="ar-SA"/>
        </w:rPr>
        <w:t>施工单位应当按照审查合格的施工图设计文件和施工技术标准进行无障碍设施施工。</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sz w:val="32"/>
          <w:szCs w:val="32"/>
          <w:highlight w:val="none"/>
        </w:rPr>
      </w:pPr>
      <w:r>
        <w:rPr>
          <w:rFonts w:hint="eastAsia" w:ascii="仿宋_GB2312" w:hAnsi="仿宋_GB2312" w:eastAsia="仿宋_GB2312" w:cs="仿宋_GB2312"/>
          <w:kern w:val="2"/>
          <w:sz w:val="32"/>
          <w:szCs w:val="32"/>
          <w:highlight w:val="none"/>
          <w:lang w:val="en-US" w:eastAsia="zh-CN" w:bidi="ar-SA"/>
        </w:rPr>
        <w:t xml:space="preserve">工程监理单位应当按照无障碍设施工程建设标准和审查合格的施工图设计文件，对无障碍设施施工质量实施监理。 </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第十</w:t>
      </w:r>
      <w:r>
        <w:rPr>
          <w:rFonts w:hint="eastAsia" w:ascii="楷体" w:hAnsi="楷体" w:eastAsia="楷体" w:cs="楷体"/>
          <w:b/>
          <w:bCs/>
          <w:color w:val="auto"/>
          <w:kern w:val="0"/>
          <w:sz w:val="32"/>
          <w:szCs w:val="32"/>
          <w:highlight w:val="none"/>
          <w:lang w:eastAsia="zh-CN" w:bidi="ar"/>
        </w:rPr>
        <w:t>四</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 xml:space="preserve">建设单位组织对建设工程项目进行竣工验收时，应当按照无障碍设施工程建设有关标准对无障碍设施进行同步验收。 </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国家机关与文化、体育、医疗卫生、交通运输、金融、电信、邮政、商业、旅游等企业、事业单位的公共服务场所竣工验收前，建设单位可以邀请残疾人、老年人等社会成员代表试用配套建设的无障碍设施，并听取相关意见和建议。</w:t>
      </w:r>
    </w:p>
    <w:p>
      <w:pPr>
        <w:pStyle w:val="3"/>
        <w:keepNext w:val="0"/>
        <w:keepLines w:val="0"/>
        <w:pageBreakBefore w:val="0"/>
        <w:shd w:val="clear"/>
        <w:kinsoku/>
        <w:wordWrap/>
        <w:overflowPunct/>
        <w:topLinePunct w:val="0"/>
        <w:autoSpaceDE/>
        <w:autoSpaceDN/>
        <w:bidi w:val="0"/>
        <w:spacing w:line="579" w:lineRule="exact"/>
        <w:ind w:firstLine="683" w:firstLineChars="200"/>
        <w:textAlignment w:val="auto"/>
        <w:rPr>
          <w:rFonts w:hint="eastAsia" w:ascii="宋体" w:hAnsi="宋体" w:eastAsia="宋体" w:cs="宋体"/>
          <w:b/>
          <w:bCs w:val="0"/>
          <w:color w:val="000000"/>
          <w:spacing w:val="10"/>
          <w:kern w:val="0"/>
          <w:sz w:val="32"/>
          <w:szCs w:val="32"/>
          <w:highlight w:val="none"/>
          <w:u w:val="none"/>
          <w:lang w:bidi="ar"/>
        </w:rPr>
      </w:pPr>
      <w:r>
        <w:rPr>
          <w:rFonts w:hint="eastAsia" w:ascii="楷体" w:hAnsi="楷体" w:eastAsia="楷体" w:cs="楷体"/>
          <w:b/>
          <w:bCs w:val="0"/>
          <w:color w:val="000000"/>
          <w:spacing w:val="10"/>
          <w:kern w:val="0"/>
          <w:sz w:val="32"/>
          <w:szCs w:val="32"/>
          <w:highlight w:val="none"/>
          <w:u w:val="none"/>
          <w:lang w:bidi="ar"/>
        </w:rPr>
        <w:t>第十</w:t>
      </w:r>
      <w:r>
        <w:rPr>
          <w:rFonts w:hint="eastAsia" w:ascii="楷体" w:hAnsi="楷体" w:eastAsia="楷体" w:cs="楷体"/>
          <w:b/>
          <w:bCs w:val="0"/>
          <w:color w:val="000000"/>
          <w:spacing w:val="10"/>
          <w:kern w:val="0"/>
          <w:sz w:val="32"/>
          <w:szCs w:val="32"/>
          <w:highlight w:val="none"/>
          <w:u w:val="none"/>
          <w:lang w:eastAsia="zh-CN" w:bidi="ar"/>
        </w:rPr>
        <w:t>五</w:t>
      </w:r>
      <w:r>
        <w:rPr>
          <w:rFonts w:hint="eastAsia" w:ascii="楷体" w:hAnsi="楷体" w:eastAsia="楷体" w:cs="楷体"/>
          <w:b/>
          <w:bCs w:val="0"/>
          <w:color w:val="000000"/>
          <w:spacing w:val="10"/>
          <w:kern w:val="0"/>
          <w:sz w:val="32"/>
          <w:szCs w:val="32"/>
          <w:highlight w:val="none"/>
          <w:u w:val="none"/>
          <w:lang w:bidi="ar"/>
        </w:rPr>
        <w:t>条</w:t>
      </w:r>
      <w:r>
        <w:rPr>
          <w:rFonts w:hint="eastAsia" w:ascii="宋体" w:hAnsi="宋体" w:eastAsia="宋体" w:cs="宋体"/>
          <w:b/>
          <w:bCs w:val="0"/>
          <w:color w:val="000000"/>
          <w:spacing w:val="10"/>
          <w:kern w:val="0"/>
          <w:sz w:val="32"/>
          <w:szCs w:val="32"/>
          <w:highlight w:val="none"/>
          <w:u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无障碍设施应当结构稳固、经久耐用、颜色鲜明，并在醒目位置设置国际通用、表述清晰规范的无障碍标志，方便残疾人、老年人等社会成员识别。无障碍标志应当纳入城市环境和建筑内部的引导标识系统，清楚地指明无障碍厕所、电梯、坡道、通道、专用停车位等重要无障碍设施的走向及位置。</w:t>
      </w:r>
    </w:p>
    <w:p>
      <w:pPr>
        <w:pStyle w:val="3"/>
        <w:keepNext w:val="0"/>
        <w:keepLines w:val="0"/>
        <w:pageBreakBefore w:val="0"/>
        <w:shd w:val="clear"/>
        <w:kinsoku/>
        <w:wordWrap/>
        <w:overflowPunct/>
        <w:topLinePunct w:val="0"/>
        <w:autoSpaceDE/>
        <w:autoSpaceDN/>
        <w:bidi w:val="0"/>
        <w:spacing w:line="579" w:lineRule="exact"/>
        <w:ind w:firstLine="68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val="0"/>
          <w:color w:val="000000"/>
          <w:spacing w:val="10"/>
          <w:kern w:val="0"/>
          <w:sz w:val="32"/>
          <w:szCs w:val="32"/>
          <w:highlight w:val="none"/>
          <w:u w:val="none"/>
          <w:lang w:bidi="ar"/>
        </w:rPr>
        <w:t>第十</w:t>
      </w:r>
      <w:r>
        <w:rPr>
          <w:rFonts w:hint="eastAsia" w:ascii="楷体" w:hAnsi="楷体" w:eastAsia="楷体" w:cs="楷体"/>
          <w:b/>
          <w:bCs w:val="0"/>
          <w:color w:val="000000"/>
          <w:spacing w:val="10"/>
          <w:kern w:val="0"/>
          <w:sz w:val="32"/>
          <w:szCs w:val="32"/>
          <w:highlight w:val="none"/>
          <w:u w:val="none"/>
          <w:lang w:eastAsia="zh-CN" w:bidi="ar"/>
        </w:rPr>
        <w:t>六</w:t>
      </w:r>
      <w:r>
        <w:rPr>
          <w:rFonts w:hint="eastAsia" w:ascii="楷体" w:hAnsi="楷体" w:eastAsia="楷体" w:cs="楷体"/>
          <w:b/>
          <w:bCs w:val="0"/>
          <w:color w:val="000000"/>
          <w:spacing w:val="10"/>
          <w:kern w:val="0"/>
          <w:sz w:val="32"/>
          <w:szCs w:val="32"/>
          <w:highlight w:val="none"/>
          <w:u w:val="none"/>
          <w:lang w:bidi="ar"/>
        </w:rPr>
        <w:t>条</w:t>
      </w:r>
      <w:r>
        <w:rPr>
          <w:rFonts w:hint="eastAsia" w:ascii="宋体" w:hAnsi="宋体" w:eastAsia="宋体" w:cs="宋体"/>
          <w:b/>
          <w:bCs w:val="0"/>
          <w:color w:val="000000"/>
          <w:spacing w:val="10"/>
          <w:kern w:val="0"/>
          <w:sz w:val="32"/>
          <w:szCs w:val="32"/>
          <w:highlight w:val="none"/>
          <w:u w:val="none"/>
          <w:lang w:bidi="ar"/>
        </w:rPr>
        <w:t xml:space="preserve"> </w:t>
      </w:r>
      <w:r>
        <w:rPr>
          <w:rFonts w:hint="eastAsia" w:ascii="宋体" w:hAnsi="宋体" w:eastAsia="宋体" w:cs="宋体"/>
          <w:b w:val="0"/>
          <w:bCs/>
          <w:color w:val="000000"/>
          <w:spacing w:val="1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建设无障碍设施应当遵守下列规定:</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（一）城市的主要道路、主要商业区和大型居住区的人行天桥和人行地下通道，应当按照无障碍设施工程建设标准配备无障碍设施；</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（二）人行道、公共交通设施、公共建筑、居住区、居住建筑的地面应当平整、防滑，在交叉路口和出入口设置坡道或者缘石坡道。设置石墩、铁链、围挡等隔离设施不得妨碍出入口正常通行；</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（三）文化、体育、旅游、娱乐和其他公共活动场所，应当设置专门的无障碍通道，保留人工窗口和电话专线及一定数量的线下免预约进入或购票名额，为残疾人、老年人等社会成员提供方便；</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城市主要道路、大型商业区、公共交通站点、公园、社区、人行天桥、人行地下通道、行政机关窗口服务单位，应当建设盲道并保持连续，盲道上不得有树木、垃圾箱、配电箱、电线杆及其拉线等障碍物，并与周边的人行天桥、人行地下通道和公共建筑、公共交通设施的无障碍设施相衔接；</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（五）大型公共建筑需要配备电梯时应当设置无障碍电梯或者升降台，配备楼层语音提示系统；</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（六）公共服务场所的售票窗口、服务台、洗手池、饮水器等应当设置低位服务设施；</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（七）国家机关公共服务场所、医院、社区、公园、旅游景区、大型商场、室外公共厕所，应当设置含有残疾人、老年人专用厕位和出入口坡道的无障碍卫生间；</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（八）城市主要道路的十字路口、主要商业区和大型居住区的人行通道交通信号设施应当设置声响提示装置，逐步完善无障碍服务功能；</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（九）步行街、步行景点等区域设置的无障碍通道，应允许肢体残疾人和行动不便的老年人使用的轮椅等专用代步工具进入；</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（十）公共建筑、公共交通设施的玻璃门、玻璃墙、楼梯口、电梯口和通道等应设置警示标志或者指示装置；</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宋体" w:hAnsi="宋体" w:eastAsia="宋体" w:cs="宋体"/>
          <w:b w:val="0"/>
          <w:bCs/>
          <w:strike w:val="0"/>
          <w:dstrike w:val="0"/>
          <w:color w:val="000000"/>
          <w:spacing w:val="1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（十一）鼓励有条件的宾馆饭店配置一定比例的无障碍客房。</w:t>
      </w:r>
    </w:p>
    <w:p>
      <w:pPr>
        <w:pStyle w:val="3"/>
        <w:keepNext w:val="0"/>
        <w:keepLines w:val="0"/>
        <w:pageBreakBefore w:val="0"/>
        <w:shd w:val="clear"/>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第十</w:t>
      </w:r>
      <w:r>
        <w:rPr>
          <w:rFonts w:hint="eastAsia" w:ascii="楷体" w:hAnsi="楷体" w:eastAsia="楷体" w:cs="楷体"/>
          <w:b/>
          <w:bCs/>
          <w:color w:val="auto"/>
          <w:kern w:val="0"/>
          <w:sz w:val="32"/>
          <w:szCs w:val="32"/>
          <w:highlight w:val="none"/>
          <w:lang w:eastAsia="zh-CN" w:bidi="ar"/>
        </w:rPr>
        <w:t>七</w:t>
      </w:r>
      <w:r>
        <w:rPr>
          <w:rFonts w:hint="eastAsia" w:ascii="楷体" w:hAnsi="楷体" w:eastAsia="楷体" w:cs="楷体"/>
          <w:b/>
          <w:bCs/>
          <w:color w:val="auto"/>
          <w:kern w:val="0"/>
          <w:sz w:val="32"/>
          <w:szCs w:val="32"/>
          <w:highlight w:val="none"/>
          <w:lang w:bidi="ar"/>
        </w:rPr>
        <w:t>条</w:t>
      </w:r>
      <w:r>
        <w:rPr>
          <w:rFonts w:hint="eastAsia" w:ascii="宋体" w:hAnsi="宋体" w:cs="宋体"/>
          <w:b/>
          <w:bCs/>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城镇已建成的道路、公共交通设施、公共建筑、居住区、居住建筑不符合无障碍设施工程建设有关标准的，应当逐步进行无障碍设施改造。</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宋体" w:hAnsi="宋体" w:cs="宋体"/>
          <w:color w:val="000000"/>
          <w:kern w:val="0"/>
          <w:sz w:val="32"/>
          <w:szCs w:val="32"/>
          <w:highlight w:val="none"/>
          <w:lang w:eastAsia="zh-CN" w:bidi="ar"/>
        </w:rPr>
      </w:pPr>
      <w:r>
        <w:rPr>
          <w:rFonts w:hint="eastAsia" w:ascii="仿宋_GB2312" w:hAnsi="仿宋_GB2312" w:eastAsia="仿宋_GB2312" w:cs="仿宋_GB2312"/>
          <w:kern w:val="2"/>
          <w:sz w:val="32"/>
          <w:szCs w:val="32"/>
          <w:highlight w:val="none"/>
          <w:lang w:val="en-US" w:eastAsia="zh-CN" w:bidi="ar-SA"/>
        </w:rPr>
        <w:t>县级以上地方人民政府应当在征求相关所有权人、管理人和残疾人、老年人等社会成员代表的意见基础上，制定无障碍设施改造计划并组织实施。无障碍设施改造由所有权人或者管理人负责。</w:t>
      </w:r>
      <w:r>
        <w:rPr>
          <w:rFonts w:hint="eastAsia" w:ascii="宋体" w:hAnsi="宋体" w:cs="宋体"/>
          <w:color w:val="000000"/>
          <w:kern w:val="0"/>
          <w:sz w:val="32"/>
          <w:szCs w:val="32"/>
          <w:highlight w:val="none"/>
          <w:lang w:eastAsia="zh-CN" w:bidi="ar"/>
        </w:rPr>
        <w:t xml:space="preserve"> </w:t>
      </w:r>
    </w:p>
    <w:p>
      <w:pPr>
        <w:pStyle w:val="3"/>
        <w:keepNext w:val="0"/>
        <w:keepLines w:val="0"/>
        <w:pageBreakBefore w:val="0"/>
        <w:shd w:val="clear"/>
        <w:kinsoku/>
        <w:wordWrap/>
        <w:overflowPunct/>
        <w:topLinePunct w:val="0"/>
        <w:autoSpaceDE/>
        <w:autoSpaceDN/>
        <w:bidi w:val="0"/>
        <w:spacing w:line="579" w:lineRule="exact"/>
        <w:ind w:firstLine="68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val="0"/>
          <w:color w:val="000000"/>
          <w:spacing w:val="10"/>
          <w:kern w:val="0"/>
          <w:sz w:val="32"/>
          <w:szCs w:val="32"/>
          <w:highlight w:val="none"/>
          <w:u w:val="none"/>
          <w:lang w:bidi="ar"/>
        </w:rPr>
        <w:t>第十</w:t>
      </w:r>
      <w:r>
        <w:rPr>
          <w:rFonts w:hint="eastAsia" w:ascii="楷体" w:hAnsi="楷体" w:eastAsia="楷体" w:cs="楷体"/>
          <w:b/>
          <w:bCs w:val="0"/>
          <w:color w:val="000000"/>
          <w:spacing w:val="10"/>
          <w:kern w:val="0"/>
          <w:sz w:val="32"/>
          <w:szCs w:val="32"/>
          <w:highlight w:val="none"/>
          <w:u w:val="none"/>
          <w:lang w:eastAsia="zh-CN" w:bidi="ar"/>
        </w:rPr>
        <w:t>八</w:t>
      </w:r>
      <w:r>
        <w:rPr>
          <w:rFonts w:hint="eastAsia" w:ascii="楷体" w:hAnsi="楷体" w:eastAsia="楷体" w:cs="楷体"/>
          <w:b/>
          <w:bCs w:val="0"/>
          <w:color w:val="000000"/>
          <w:spacing w:val="10"/>
          <w:kern w:val="0"/>
          <w:sz w:val="32"/>
          <w:szCs w:val="32"/>
          <w:highlight w:val="none"/>
          <w:u w:val="none"/>
          <w:lang w:bidi="ar"/>
        </w:rPr>
        <w:t>条</w:t>
      </w:r>
      <w:r>
        <w:rPr>
          <w:rFonts w:hint="eastAsia" w:ascii="宋体" w:hAnsi="宋体" w:eastAsia="宋体" w:cs="宋体"/>
          <w:b/>
          <w:bCs w:val="0"/>
          <w:color w:val="000000"/>
          <w:spacing w:val="10"/>
          <w:kern w:val="0"/>
          <w:sz w:val="32"/>
          <w:szCs w:val="32"/>
          <w:highlight w:val="none"/>
          <w:u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县级以上地方人民政府应当优先推进下列机构、场所的无障碍设施改造：</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（一）特殊教育、康复、福利、养老等机构；</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（二）国家机关的公共服务场所；</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（三）学校、幼儿园、医院、体育场馆、图书馆、文化馆、科技馆、博物馆、影剧院等单位的公共服务场所；</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（四）机场、车站、客运码头等公共交通服务场所；</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（五）金融、邮政、通信、市政公用、商业、旅游等公共服务场所；</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（六）城市的主要道路、广场、公园、景区等公共场所。</w:t>
      </w:r>
    </w:p>
    <w:p>
      <w:pPr>
        <w:pStyle w:val="3"/>
        <w:keepNext w:val="0"/>
        <w:keepLines w:val="0"/>
        <w:pageBreakBefore w:val="0"/>
        <w:shd w:val="clear"/>
        <w:kinsoku/>
        <w:wordWrap/>
        <w:overflowPunct/>
        <w:topLinePunct w:val="0"/>
        <w:autoSpaceDE/>
        <w:autoSpaceDN/>
        <w:bidi w:val="0"/>
        <w:spacing w:line="579" w:lineRule="exact"/>
        <w:ind w:firstLine="68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val="0"/>
          <w:color w:val="000000"/>
          <w:spacing w:val="10"/>
          <w:kern w:val="0"/>
          <w:sz w:val="32"/>
          <w:szCs w:val="32"/>
          <w:highlight w:val="none"/>
          <w:u w:val="none"/>
          <w:lang w:bidi="ar"/>
        </w:rPr>
        <w:t>第十</w:t>
      </w:r>
      <w:r>
        <w:rPr>
          <w:rFonts w:hint="eastAsia" w:ascii="楷体" w:hAnsi="楷体" w:eastAsia="楷体" w:cs="楷体"/>
          <w:b/>
          <w:bCs w:val="0"/>
          <w:color w:val="000000"/>
          <w:spacing w:val="10"/>
          <w:kern w:val="0"/>
          <w:sz w:val="32"/>
          <w:szCs w:val="32"/>
          <w:highlight w:val="none"/>
          <w:u w:val="none"/>
          <w:lang w:eastAsia="zh-CN" w:bidi="ar"/>
        </w:rPr>
        <w:t>九</w:t>
      </w:r>
      <w:r>
        <w:rPr>
          <w:rFonts w:hint="eastAsia" w:ascii="楷体" w:hAnsi="楷体" w:eastAsia="楷体" w:cs="楷体"/>
          <w:b/>
          <w:bCs w:val="0"/>
          <w:color w:val="000000"/>
          <w:spacing w:val="10"/>
          <w:kern w:val="0"/>
          <w:sz w:val="32"/>
          <w:szCs w:val="32"/>
          <w:highlight w:val="none"/>
          <w:u w:val="none"/>
          <w:lang w:bidi="ar"/>
        </w:rPr>
        <w:t>条</w:t>
      </w:r>
      <w:r>
        <w:rPr>
          <w:rFonts w:hint="eastAsia" w:ascii="宋体" w:hAnsi="宋体" w:eastAsia="宋体" w:cs="宋体"/>
          <w:b w:val="0"/>
          <w:bCs/>
          <w:color w:val="000000"/>
          <w:spacing w:val="1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下列停车场应当按照《无障碍设计规范》规定的数量、比例、位置等具体要求，设置无障碍停车位：</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（一）国家机关的公共服务场所停车场；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（二）大型商场宾馆与酒店停车场；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（三）机场、火车站、汽车站、城市轨道、客运码头、口岸等交通运输枢纽的停车场；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（四）医疗卫生、教育、文化、金融、邮政、商业、旅游等公共服务场所的停车场；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（五）残疾人服务、特殊教育、康复、托养、培训等机构服务场所停车场；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（六）城市广场、公园绿地的停车场。</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50个以下车位的公共停车场应当设置1个残疾人专用停车泊位，50个以上车位的按不低于2%的比例设置。</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无障碍停车位供肢体残疾人驾驶或者乘坐的机动车专用，公共停车场免收停放费用，禁止任何单位和个人占用。无障碍停车位的地面应当涂有残疾人专用停车位标线、轮椅通道线和无障碍标志。肢体残疾人使用无障碍停车位时，应当在车辆明显位置放置残疾人车专用标志或者残疾人证。</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宋体" w:hAnsi="宋体" w:eastAsia="宋体" w:cs="宋体"/>
          <w:b w:val="0"/>
          <w:bCs/>
          <w:color w:val="000000"/>
          <w:spacing w:val="10"/>
          <w:kern w:val="0"/>
          <w:sz w:val="32"/>
          <w:szCs w:val="32"/>
          <w:highlight w:val="none"/>
          <w:lang w:val="en-US" w:eastAsia="zh-CN" w:bidi="ar"/>
        </w:rPr>
      </w:pPr>
      <w:r>
        <w:rPr>
          <w:rFonts w:hint="eastAsia" w:ascii="仿宋_GB2312" w:hAnsi="仿宋_GB2312" w:eastAsia="仿宋_GB2312" w:cs="仿宋_GB2312"/>
          <w:kern w:val="2"/>
          <w:sz w:val="32"/>
          <w:szCs w:val="32"/>
          <w:highlight w:val="none"/>
          <w:lang w:val="en-US" w:eastAsia="zh-CN" w:bidi="ar-SA"/>
        </w:rPr>
        <w:t>持C5驾驶证的残疾人驾驶的残疾人专用汽车通行不受城市人民政府尾号限行规定的限制。</w:t>
      </w:r>
    </w:p>
    <w:p>
      <w:pPr>
        <w:pStyle w:val="3"/>
        <w:keepNext w:val="0"/>
        <w:keepLines w:val="0"/>
        <w:pageBreakBefore w:val="0"/>
        <w:shd w:val="clear"/>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000000"/>
          <w:kern w:val="0"/>
          <w:sz w:val="32"/>
          <w:szCs w:val="32"/>
          <w:highlight w:val="none"/>
          <w:lang w:eastAsia="zh-CN" w:bidi="ar"/>
        </w:rPr>
        <w:t>第二十条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公共交通设施建设单位或者运营单位应当按照下列规定，逐步完善无障碍设施，提供无障碍服务：</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（一）在公共汽车、城市轨道交通车辆安装语音提示系统、电子字幕报站系统和无障碍踏板、扶手、轮椅专席等无障碍辅助设备，并配置一定数量的无障碍辅助器具供乘客使用；</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（二）在城市主要交通停车站点设置符合规定的盲文站牌；</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（三）机场、火车站、汽车站、客运码头等场所应当根据需要，配置轮椅等辅助器具，设置为残疾人、老年人等社会成员服务的购票取票设施、等候专座、托运行李、上下交通工具绿色通道等无障碍客运服务。</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城市的公共汽车、轨道交通车辆和出租车运营单位应当配置一定比例的供轮椅乘客使用的无障碍车辆。城市人民政府配置出租汽车资源时，应当根据当地情况给予适量的无障碍出租汽车指标，并予以优惠。</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鼓励网约车平台公司优化约车软件，增设“一键叫车”功能，提供电召服务，对老年人订单优先派车。</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残疾人、老年人等社会成员乘坐公共交通工具携带随身必备的辅助器具或者有标志的导盲犬的，公共交通运营单位不得拒绝或者额外收取费用。</w:t>
      </w:r>
    </w:p>
    <w:p>
      <w:pPr>
        <w:pStyle w:val="3"/>
        <w:keepNext w:val="0"/>
        <w:keepLines w:val="0"/>
        <w:pageBreakBefore w:val="0"/>
        <w:shd w:val="clear"/>
        <w:kinsoku/>
        <w:wordWrap/>
        <w:overflowPunct/>
        <w:topLinePunct w:val="0"/>
        <w:autoSpaceDE/>
        <w:autoSpaceDN/>
        <w:bidi w:val="0"/>
        <w:spacing w:line="579"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eastAsia="zh-CN" w:bidi="ar"/>
        </w:rPr>
        <w:t>二</w:t>
      </w:r>
      <w:r>
        <w:rPr>
          <w:rFonts w:hint="eastAsia" w:ascii="楷体" w:hAnsi="楷体" w:eastAsia="楷体" w:cs="楷体"/>
          <w:b/>
          <w:bCs/>
          <w:color w:val="auto"/>
          <w:kern w:val="0"/>
          <w:sz w:val="32"/>
          <w:szCs w:val="32"/>
          <w:highlight w:val="none"/>
          <w:lang w:bidi="ar"/>
        </w:rPr>
        <w:t>十</w:t>
      </w:r>
      <w:r>
        <w:rPr>
          <w:rFonts w:hint="eastAsia" w:ascii="楷体" w:hAnsi="楷体" w:eastAsia="楷体" w:cs="楷体"/>
          <w:b/>
          <w:bCs/>
          <w:color w:val="auto"/>
          <w:kern w:val="0"/>
          <w:sz w:val="32"/>
          <w:szCs w:val="32"/>
          <w:highlight w:val="none"/>
          <w:lang w:eastAsia="zh-CN" w:bidi="ar"/>
        </w:rPr>
        <w:t>一</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无障碍设施的所有权人和管理人应当按照国家标准设置无障碍设施标志，负责对无障碍设施及其标志进行保护、维修。</w:t>
      </w:r>
    </w:p>
    <w:p>
      <w:pPr>
        <w:pStyle w:val="3"/>
        <w:keepNext w:val="0"/>
        <w:keepLines w:val="0"/>
        <w:pageBreakBefore w:val="0"/>
        <w:shd w:val="clear"/>
        <w:kinsoku/>
        <w:wordWrap/>
        <w:overflowPunct/>
        <w:topLinePunct w:val="0"/>
        <w:autoSpaceDE/>
        <w:autoSpaceDN/>
        <w:bidi w:val="0"/>
        <w:spacing w:line="579" w:lineRule="exact"/>
        <w:ind w:firstLine="640" w:firstLineChars="200"/>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任何单位和个人不得损坏、侵占盲道、无障碍卫生间、无障碍电梯、轮椅通道等无障碍设施或改变其用途。</w:t>
      </w:r>
    </w:p>
    <w:p>
      <w:pPr>
        <w:keepNext w:val="0"/>
        <w:keepLines w:val="0"/>
        <w:pageBreakBefore w:val="0"/>
        <w:widowControl/>
        <w:shd w:val="clear"/>
        <w:kinsoku/>
        <w:wordWrap/>
        <w:overflowPunct/>
        <w:topLinePunct w:val="0"/>
        <w:autoSpaceDE/>
        <w:autoSpaceDN/>
        <w:bidi w:val="0"/>
        <w:spacing w:line="579" w:lineRule="exact"/>
        <w:jc w:val="left"/>
        <w:textAlignment w:val="auto"/>
        <w:rPr>
          <w:rFonts w:hint="eastAsia" w:ascii="宋体" w:hAnsi="宋体" w:cs="宋体"/>
          <w:color w:val="000000"/>
          <w:kern w:val="0"/>
          <w:sz w:val="32"/>
          <w:szCs w:val="32"/>
          <w:highlight w:val="none"/>
          <w:lang w:bidi="ar"/>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黑体" w:hAnsi="黑体" w:eastAsia="黑体" w:cs="黑体"/>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第三章 无障碍信息交流</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宋体" w:hAnsi="宋体" w:cs="宋体"/>
          <w:color w:val="auto"/>
          <w:kern w:val="0"/>
          <w:sz w:val="32"/>
          <w:szCs w:val="32"/>
          <w:highlight w:val="none"/>
          <w:lang w:bidi="ar"/>
        </w:rPr>
      </w:pP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eastAsia="zh-CN" w:bidi="ar"/>
        </w:rPr>
        <w:t>二十二</w:t>
      </w:r>
      <w:r>
        <w:rPr>
          <w:rFonts w:hint="eastAsia" w:ascii="楷体" w:hAnsi="楷体" w:eastAsia="楷体" w:cs="楷体"/>
          <w:b/>
          <w:bCs/>
          <w:color w:val="auto"/>
          <w:kern w:val="0"/>
          <w:sz w:val="32"/>
          <w:szCs w:val="32"/>
          <w:highlight w:val="none"/>
          <w:lang w:bidi="ar"/>
        </w:rPr>
        <w:t>条</w:t>
      </w:r>
      <w:r>
        <w:rPr>
          <w:rFonts w:hint="eastAsia" w:ascii="宋体" w:hAnsi="宋体" w:cs="宋体"/>
          <w:b/>
          <w:bCs/>
          <w:color w:val="auto"/>
          <w:kern w:val="0"/>
          <w:sz w:val="32"/>
          <w:szCs w:val="32"/>
          <w:highlight w:val="none"/>
          <w:lang w:bidi="ar"/>
        </w:rPr>
        <w:t xml:space="preserve"> </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应当将无障碍信息交流纳入信息化建设规划，鼓励和引导有关部门、科研单位、企业及个人开展无障碍信息交流的技术、产品、服务的研发、推广和应用工作，为残疾人、老年人等社会成员获取公共信息提供便利。</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eastAsia="zh-CN" w:bidi="ar"/>
        </w:rPr>
        <w:t>第二十三条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县级以上地方人民政府及其有关部门发布重要政府信息以及与残疾人、老年人相关的信息，应当提供语音、文字、手语等无障碍信息交流服务。</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eastAsia="zh-CN" w:bidi="ar"/>
        </w:rPr>
        <w:t>第二十四条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省和设区的市人民政府网站、政府公益活动网站，应当逐步达到无障碍网站设计标准。</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县级地方人民政府网站应当逐步采取无障碍措施，方便残疾人、老年人等社会成员获取信息。</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残疾人、老年人组织网站应当达到无障碍网站设计标准。</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eastAsia="zh-CN" w:bidi="ar"/>
        </w:rPr>
        <w:t>第二十五条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残疾人参加符合报名条件的升学考试、职业资格考试和任职考试需要提供便利的，可以向考试组织单位提前预约。考试组织单位应当优先为行动不便人群提供具有无障碍设施的考场或优先安排低楼层考场，或提供其他不违反考场纪律的其他便利。</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有视力残疾人参加的，考试组织单位应当根据需要为其提供盲文试卷、大字试卷、电子试卷，或者由工作人员予以协助。允许听力残疾人携带助听器或人工耳蜗，FM调频系统等助听辅具。法律法规另有规定的从其规定。</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第二十</w:t>
      </w:r>
      <w:r>
        <w:rPr>
          <w:rFonts w:hint="eastAsia" w:ascii="楷体" w:hAnsi="楷体" w:eastAsia="楷体" w:cs="楷体"/>
          <w:b/>
          <w:bCs/>
          <w:color w:val="auto"/>
          <w:kern w:val="0"/>
          <w:sz w:val="32"/>
          <w:szCs w:val="32"/>
          <w:highlight w:val="none"/>
          <w:lang w:eastAsia="zh-CN" w:bidi="ar"/>
        </w:rPr>
        <w:t>六</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省和设区的市人民政府设立的电视台在播出电视节目时应当加配字幕，每周至少播放一次配备手语的新闻节目。</w:t>
      </w:r>
    </w:p>
    <w:p>
      <w:pPr>
        <w:keepNext w:val="0"/>
        <w:keepLines w:val="0"/>
        <w:pageBreakBefore w:val="0"/>
        <w:widowControl/>
        <w:shd w:val="clear"/>
        <w:kinsoku/>
        <w:wordWrap/>
        <w:overflowPunct/>
        <w:topLinePunct w:val="0"/>
        <w:autoSpaceDE/>
        <w:autoSpaceDN/>
        <w:bidi w:val="0"/>
        <w:spacing w:line="579" w:lineRule="exact"/>
        <w:ind w:firstLine="64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县级地方人民政府设立的电视台在播出新闻和残疾人、老年人专题节目时应逐步加配字幕。</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第二十</w:t>
      </w:r>
      <w:r>
        <w:rPr>
          <w:rFonts w:hint="eastAsia" w:ascii="楷体" w:hAnsi="楷体" w:eastAsia="楷体" w:cs="楷体"/>
          <w:b/>
          <w:bCs/>
          <w:color w:val="auto"/>
          <w:kern w:val="0"/>
          <w:sz w:val="32"/>
          <w:szCs w:val="32"/>
          <w:highlight w:val="none"/>
          <w:lang w:eastAsia="zh-CN" w:bidi="ar"/>
        </w:rPr>
        <w:t>七</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县级以上地方人民政府鼓励和支持以无障碍模式制作出版文化产品。公开出版发行的影视类录像制品应当配备字幕。</w:t>
      </w:r>
    </w:p>
    <w:p>
      <w:pPr>
        <w:keepNext w:val="0"/>
        <w:keepLines w:val="0"/>
        <w:pageBreakBefore w:val="0"/>
        <w:widowControl/>
        <w:shd w:val="clear"/>
        <w:kinsoku/>
        <w:wordWrap/>
        <w:overflowPunct/>
        <w:topLinePunct w:val="0"/>
        <w:autoSpaceDE/>
        <w:autoSpaceDN/>
        <w:bidi w:val="0"/>
        <w:spacing w:line="579" w:lineRule="exact"/>
        <w:ind w:firstLine="630"/>
        <w:jc w:val="left"/>
        <w:textAlignment w:val="auto"/>
        <w:rPr>
          <w:rFonts w:hint="eastAsia" w:ascii="宋体" w:hAnsi="宋体" w:cs="宋体"/>
          <w:b w:val="0"/>
          <w:bCs w:val="0"/>
          <w:color w:val="000000"/>
          <w:kern w:val="0"/>
          <w:sz w:val="32"/>
          <w:szCs w:val="32"/>
          <w:highlight w:val="none"/>
          <w:u w:val="none"/>
          <w:lang w:bidi="ar"/>
        </w:rPr>
      </w:pPr>
      <w:r>
        <w:rPr>
          <w:rFonts w:hint="eastAsia" w:ascii="楷体" w:hAnsi="楷体" w:eastAsia="楷体" w:cs="楷体"/>
          <w:b/>
          <w:bCs/>
          <w:color w:val="auto"/>
          <w:kern w:val="0"/>
          <w:sz w:val="32"/>
          <w:szCs w:val="32"/>
          <w:highlight w:val="none"/>
          <w:lang w:bidi="ar"/>
        </w:rPr>
        <w:t>第二十</w:t>
      </w:r>
      <w:r>
        <w:rPr>
          <w:rFonts w:hint="eastAsia" w:ascii="楷体" w:hAnsi="楷体" w:eastAsia="楷体" w:cs="楷体"/>
          <w:b/>
          <w:bCs/>
          <w:color w:val="auto"/>
          <w:kern w:val="0"/>
          <w:sz w:val="32"/>
          <w:szCs w:val="32"/>
          <w:highlight w:val="none"/>
          <w:lang w:eastAsia="zh-CN" w:bidi="ar"/>
        </w:rPr>
        <w:t>八</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公共服务机构和公共场所应当创造条件，为残疾人、老年人等社会成员提供语音和文字提示、手语、盲文等信息交流服务，并安排工作人员予以协助。鼓励企业、社会工作机构、自愿者服务组织和个人参与服务。</w:t>
      </w:r>
    </w:p>
    <w:p>
      <w:pPr>
        <w:keepNext w:val="0"/>
        <w:keepLines w:val="0"/>
        <w:pageBreakBefore w:val="0"/>
        <w:widowControl/>
        <w:shd w:val="clear"/>
        <w:kinsoku/>
        <w:wordWrap/>
        <w:overflowPunct/>
        <w:topLinePunct w:val="0"/>
        <w:autoSpaceDE/>
        <w:autoSpaceDN/>
        <w:bidi w:val="0"/>
        <w:adjustRightInd w:val="0"/>
        <w:snapToGrid w:val="0"/>
        <w:spacing w:line="579" w:lineRule="exact"/>
        <w:ind w:firstLine="63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第二十</w:t>
      </w:r>
      <w:r>
        <w:rPr>
          <w:rFonts w:hint="eastAsia" w:ascii="楷体" w:hAnsi="楷体" w:eastAsia="楷体" w:cs="楷体"/>
          <w:b/>
          <w:bCs/>
          <w:color w:val="auto"/>
          <w:kern w:val="0"/>
          <w:sz w:val="32"/>
          <w:szCs w:val="32"/>
          <w:highlight w:val="none"/>
          <w:lang w:eastAsia="zh-CN" w:bidi="ar"/>
        </w:rPr>
        <w:t>九</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举办视力、听力残疾人集中参加的会议、讲座、培训、演出等公共活动，举办单位应当配备解说员、提供字幕或者手语服务。</w:t>
      </w:r>
    </w:p>
    <w:p>
      <w:pPr>
        <w:keepNext w:val="0"/>
        <w:keepLines w:val="0"/>
        <w:pageBreakBefore w:val="0"/>
        <w:widowControl/>
        <w:shd w:val="clear"/>
        <w:kinsoku/>
        <w:wordWrap/>
        <w:overflowPunct/>
        <w:topLinePunct w:val="0"/>
        <w:autoSpaceDE/>
        <w:autoSpaceDN/>
        <w:bidi w:val="0"/>
        <w:spacing w:line="579" w:lineRule="exact"/>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宋体" w:hAnsi="宋体" w:cs="宋体"/>
          <w:color w:val="000000"/>
          <w:kern w:val="0"/>
          <w:sz w:val="32"/>
          <w:szCs w:val="32"/>
          <w:highlight w:val="none"/>
          <w:lang w:bidi="ar"/>
        </w:rPr>
        <w:t>　　</w:t>
      </w: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eastAsia="zh-CN" w:bidi="ar"/>
        </w:rPr>
        <w:t>三</w:t>
      </w:r>
      <w:r>
        <w:rPr>
          <w:rFonts w:hint="eastAsia" w:ascii="楷体" w:hAnsi="楷体" w:eastAsia="楷体" w:cs="楷体"/>
          <w:b/>
          <w:bCs/>
          <w:color w:val="auto"/>
          <w:kern w:val="0"/>
          <w:sz w:val="32"/>
          <w:szCs w:val="32"/>
          <w:highlight w:val="none"/>
          <w:lang w:bidi="ar"/>
        </w:rPr>
        <w:t>十条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电信业务经营者提供电信服务，应当向有需求的听力、言语、视力残疾人与老年人客户提供文字和语音信息服务，并按照国家规定给予听力、言语、视力残疾人服务收费优惠。</w:t>
      </w:r>
    </w:p>
    <w:p>
      <w:pPr>
        <w:keepNext w:val="0"/>
        <w:keepLines w:val="0"/>
        <w:pageBreakBefore w:val="0"/>
        <w:widowControl/>
        <w:shd w:val="clear"/>
        <w:kinsoku/>
        <w:wordWrap/>
        <w:overflowPunct/>
        <w:topLinePunct w:val="0"/>
        <w:autoSpaceDE/>
        <w:autoSpaceDN/>
        <w:bidi w:val="0"/>
        <w:adjustRightInd/>
        <w:snapToGrid/>
        <w:spacing w:line="579" w:lineRule="exact"/>
        <w:ind w:firstLine="643" w:firstLineChars="20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eastAsia="zh-CN" w:bidi="ar"/>
        </w:rPr>
        <w:t>三十一</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省和设区的市人民政府设立的公共图书馆应当开设视力残疾人、老年人阅览室，提供盲文读物、有声读物；县级地方人民政府设立的公共图书馆应当逐步开设视力残疾人、老年人阅览室，配备盲文读物和有声读物，提供语音读屏、大字阅读设备和软件；乡镇、村庄、社区设立的公共图书馆（室）应当逐步配备方便视力残疾人、老年人阅览的读物、资料。</w:t>
      </w:r>
    </w:p>
    <w:p>
      <w:pPr>
        <w:keepNext w:val="0"/>
        <w:keepLines w:val="0"/>
        <w:pageBreakBefore w:val="0"/>
        <w:widowControl/>
        <w:shd w:val="clear"/>
        <w:kinsoku/>
        <w:wordWrap/>
        <w:overflowPunct/>
        <w:topLinePunct w:val="0"/>
        <w:autoSpaceDE/>
        <w:autoSpaceDN/>
        <w:bidi w:val="0"/>
        <w:adjustRightInd/>
        <w:snapToGrid/>
        <w:spacing w:line="579" w:lineRule="exact"/>
        <w:ind w:firstLine="640" w:firstLineChars="200"/>
        <w:jc w:val="left"/>
        <w:textAlignment w:val="auto"/>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公共图书馆进行图书数字化建设，应当利用无障碍技术手段，方便残疾人、老年人等社会成员获取信息。</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w:t>
      </w:r>
      <w:r>
        <w:rPr>
          <w:rFonts w:hint="eastAsia" w:ascii="楷体" w:hAnsi="楷体" w:eastAsia="楷体" w:cs="楷体"/>
          <w:b/>
          <w:bCs/>
          <w:color w:val="auto"/>
          <w:kern w:val="0"/>
          <w:sz w:val="32"/>
          <w:szCs w:val="32"/>
          <w:highlight w:val="none"/>
          <w:lang w:eastAsia="zh-CN" w:bidi="ar"/>
        </w:rPr>
        <w:t>三十二</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县级以上地方人民政府鼓励和支持与视力、智力残疾人、老年人生命健康、财产安全等密切相关的日常用品信息等提示技术的研制、开发和应用，方便视力、智力残疾人、老年人能够清晰识别产品安全提示。</w:t>
      </w: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宋体" w:hAnsi="宋体" w:cs="宋体"/>
          <w:b/>
          <w:bCs/>
          <w:color w:val="000000"/>
          <w:kern w:val="0"/>
          <w:sz w:val="32"/>
          <w:szCs w:val="32"/>
          <w:highlight w:val="none"/>
          <w:lang w:bidi="ar"/>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黑体" w:hAnsi="黑体" w:eastAsia="黑体" w:cs="黑体"/>
          <w:b/>
          <w:bCs/>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第四章 无障碍社区服务</w:t>
      </w:r>
    </w:p>
    <w:p>
      <w:pPr>
        <w:keepNext w:val="0"/>
        <w:keepLines w:val="0"/>
        <w:pageBreakBefore w:val="0"/>
        <w:widowControl/>
        <w:shd w:val="clear" w:color="auto"/>
        <w:kinsoku/>
        <w:wordWrap/>
        <w:overflowPunct/>
        <w:topLinePunct w:val="0"/>
        <w:autoSpaceDE/>
        <w:autoSpaceDN/>
        <w:bidi w:val="0"/>
        <w:adjustRightInd w:val="0"/>
        <w:snapToGrid w:val="0"/>
        <w:spacing w:line="579" w:lineRule="exact"/>
        <w:ind w:firstLine="643" w:firstLineChars="200"/>
        <w:textAlignment w:val="auto"/>
        <w:rPr>
          <w:rFonts w:hint="eastAsia" w:ascii="宋体" w:hAnsi="宋体" w:cs="宋体"/>
          <w:color w:val="000000"/>
          <w:kern w:val="0"/>
          <w:sz w:val="32"/>
          <w:szCs w:val="32"/>
          <w:highlight w:val="none"/>
          <w:lang w:bidi="ar"/>
        </w:rPr>
      </w:pPr>
      <w:r>
        <w:rPr>
          <w:rFonts w:hint="eastAsia" w:ascii="楷体" w:hAnsi="楷体" w:eastAsia="楷体" w:cs="楷体"/>
          <w:b/>
          <w:bCs/>
          <w:strike w:val="0"/>
          <w:dstrike w:val="0"/>
          <w:color w:val="auto"/>
          <w:kern w:val="0"/>
          <w:sz w:val="32"/>
          <w:szCs w:val="32"/>
          <w:highlight w:val="none"/>
          <w:lang w:eastAsia="zh-CN" w:bidi="ar"/>
        </w:rPr>
        <w:t>第三十三条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县级以上地方人民政府应当加强无障碍环境社区建设工作，推动完善社区便民服务中心、文化、体育、养老、医疗卫生等公共服务设施的无障碍服务功能。</w:t>
      </w:r>
      <w:bookmarkStart w:id="0" w:name="_Hlk41489006"/>
      <w:r>
        <w:rPr>
          <w:rFonts w:hint="eastAsia" w:ascii="仿宋_GB2312" w:hAnsi="仿宋_GB2312" w:eastAsia="仿宋_GB2312" w:cs="仿宋_GB2312"/>
          <w:kern w:val="2"/>
          <w:sz w:val="32"/>
          <w:szCs w:val="32"/>
          <w:highlight w:val="none"/>
          <w:lang w:val="en-US" w:eastAsia="zh-CN" w:bidi="ar-SA"/>
        </w:rPr>
        <w:t>鼓励老旧居住区加装电梯和依照相关标准改造坡道、扶手护栏等无障碍设施。</w:t>
      </w:r>
      <w:bookmarkEnd w:id="0"/>
    </w:p>
    <w:p>
      <w:pPr>
        <w:keepNext w:val="0"/>
        <w:keepLines w:val="0"/>
        <w:pageBreakBefore w:val="0"/>
        <w:widowControl/>
        <w:shd w:val="clear" w:color="auto"/>
        <w:kinsoku/>
        <w:wordWrap/>
        <w:overflowPunct/>
        <w:topLinePunct w:val="0"/>
        <w:autoSpaceDE/>
        <w:autoSpaceDN/>
        <w:bidi w:val="0"/>
        <w:adjustRightInd w:val="0"/>
        <w:snapToGrid w:val="0"/>
        <w:spacing w:line="579" w:lineRule="exact"/>
        <w:ind w:firstLine="68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000000"/>
          <w:spacing w:val="10"/>
          <w:kern w:val="0"/>
          <w:sz w:val="32"/>
          <w:szCs w:val="32"/>
          <w:highlight w:val="none"/>
          <w:u w:val="none"/>
          <w:lang w:bidi="ar"/>
        </w:rPr>
        <w:t>第三十</w:t>
      </w:r>
      <w:r>
        <w:rPr>
          <w:rFonts w:hint="eastAsia" w:ascii="楷体" w:hAnsi="楷体" w:eastAsia="楷体" w:cs="楷体"/>
          <w:b/>
          <w:bCs/>
          <w:color w:val="000000"/>
          <w:spacing w:val="10"/>
          <w:kern w:val="0"/>
          <w:sz w:val="32"/>
          <w:szCs w:val="32"/>
          <w:highlight w:val="none"/>
          <w:u w:val="none"/>
          <w:lang w:eastAsia="zh-CN" w:bidi="ar"/>
        </w:rPr>
        <w:t>四</w:t>
      </w:r>
      <w:r>
        <w:rPr>
          <w:rFonts w:hint="eastAsia" w:ascii="楷体" w:hAnsi="楷体" w:eastAsia="楷体" w:cs="楷体"/>
          <w:b/>
          <w:bCs/>
          <w:color w:val="000000"/>
          <w:spacing w:val="10"/>
          <w:kern w:val="0"/>
          <w:sz w:val="32"/>
          <w:szCs w:val="32"/>
          <w:highlight w:val="none"/>
          <w:u w:val="none"/>
          <w:lang w:bidi="ar"/>
        </w:rPr>
        <w:t>条</w:t>
      </w:r>
      <w:r>
        <w:rPr>
          <w:rFonts w:hint="eastAsia" w:ascii="宋体" w:hAnsi="宋体" w:eastAsia="宋体" w:cs="宋体"/>
          <w:b w:val="0"/>
          <w:bCs w:val="0"/>
          <w:color w:val="000000"/>
          <w:spacing w:val="1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残疾人、老年人等社会成员根据其实际需要对住房、楼梯、电梯等进行无障碍设施改造的，在不影响安全和他人使用的情况下，业主委员会和物业服务企业应当为其改造提供便利，其他社会成员应当给予支持。但改造活动不得违反规划和建筑设计用途，不得违法占用公共空间。</w:t>
      </w:r>
    </w:p>
    <w:p>
      <w:pPr>
        <w:keepNext w:val="0"/>
        <w:keepLines w:val="0"/>
        <w:pageBreakBefore w:val="0"/>
        <w:widowControl/>
        <w:shd w:val="clear" w:color="auto"/>
        <w:kinsoku/>
        <w:wordWrap/>
        <w:overflowPunct/>
        <w:topLinePunct w:val="0"/>
        <w:autoSpaceDE/>
        <w:autoSpaceDN/>
        <w:bidi w:val="0"/>
        <w:adjustRightInd w:val="0"/>
        <w:snapToGrid w:val="0"/>
        <w:spacing w:line="579" w:lineRule="exact"/>
        <w:ind w:firstLine="640" w:firstLineChars="200"/>
        <w:textAlignment w:val="auto"/>
        <w:rPr>
          <w:rFonts w:hint="eastAsia" w:ascii="宋体" w:hAnsi="宋体" w:eastAsia="宋体" w:cs="宋体"/>
          <w:b w:val="0"/>
          <w:bCs w:val="0"/>
          <w:color w:val="000000"/>
          <w:spacing w:val="10"/>
          <w:kern w:val="0"/>
          <w:sz w:val="32"/>
          <w:szCs w:val="32"/>
          <w:highlight w:val="none"/>
          <w:u w:val="none"/>
        </w:rPr>
      </w:pPr>
      <w:r>
        <w:rPr>
          <w:rFonts w:hint="eastAsia" w:ascii="仿宋_GB2312" w:hAnsi="仿宋_GB2312" w:eastAsia="仿宋_GB2312" w:cs="仿宋_GB2312"/>
          <w:kern w:val="2"/>
          <w:sz w:val="32"/>
          <w:szCs w:val="32"/>
          <w:highlight w:val="none"/>
          <w:lang w:val="en-US" w:eastAsia="zh-CN" w:bidi="ar-SA"/>
        </w:rPr>
        <w:t>县级以上地方人民政府应当将困难残疾人、老年人家庭无障碍改造纳入基本公共服务范围，帮助实施改造或给予适当补助。对需要进行无障碍改造的困难残疾人、老年人家庭，县级民政主管部门、残疾人组织可以组织相关技术人员现场勘查、提出设计方案并施工，也可以通过政府购买服务或者委托的方式实施。鼓励建立困难残疾人、老年人家庭无障碍改造补贴制度。</w:t>
      </w:r>
    </w:p>
    <w:p>
      <w:pPr>
        <w:keepNext w:val="0"/>
        <w:keepLines w:val="0"/>
        <w:pageBreakBefore w:val="0"/>
        <w:widowControl/>
        <w:shd w:val="clear" w:color="auto"/>
        <w:kinsoku/>
        <w:wordWrap/>
        <w:overflowPunct/>
        <w:topLinePunct w:val="0"/>
        <w:autoSpaceDE/>
        <w:autoSpaceDN/>
        <w:bidi w:val="0"/>
        <w:adjustRightInd w:val="0"/>
        <w:snapToGrid w:val="0"/>
        <w:spacing w:line="579" w:lineRule="exact"/>
        <w:ind w:firstLine="643"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第三十</w:t>
      </w:r>
      <w:r>
        <w:rPr>
          <w:rFonts w:hint="eastAsia" w:ascii="楷体" w:hAnsi="楷体" w:eastAsia="楷体" w:cs="楷体"/>
          <w:b/>
          <w:bCs/>
          <w:color w:val="auto"/>
          <w:kern w:val="0"/>
          <w:sz w:val="32"/>
          <w:szCs w:val="32"/>
          <w:highlight w:val="none"/>
          <w:lang w:eastAsia="zh-CN" w:bidi="ar"/>
        </w:rPr>
        <w:t>五</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各级人民政府应当逐步完善报警、医疗急救等紧急呼叫系统功能，方便残疾人、老年人等社会成员报警、呼救。城市应急避难场所应完善无障碍服务功能，制定</w:t>
      </w:r>
    </w:p>
    <w:p>
      <w:pPr>
        <w:keepNext w:val="0"/>
        <w:keepLines w:val="0"/>
        <w:pageBreakBefore w:val="0"/>
        <w:widowControl/>
        <w:shd w:val="clear" w:color="auto"/>
        <w:kinsoku/>
        <w:wordWrap/>
        <w:overflowPunct/>
        <w:topLinePunct w:val="0"/>
        <w:autoSpaceDE/>
        <w:autoSpaceDN/>
        <w:bidi w:val="0"/>
        <w:adjustRightInd w:val="0"/>
        <w:snapToGrid w:val="0"/>
        <w:spacing w:line="579" w:lineRule="exact"/>
        <w:textAlignment w:val="auto"/>
        <w:rPr>
          <w:rFonts w:hint="eastAsia" w:ascii="宋体" w:hAnsi="宋体" w:eastAsia="宋体" w:cs="宋体"/>
          <w:color w:val="000000"/>
          <w:kern w:val="0"/>
          <w:sz w:val="32"/>
          <w:szCs w:val="32"/>
          <w:highlight w:val="none"/>
          <w:lang w:eastAsia="zh-CN" w:bidi="ar"/>
        </w:rPr>
      </w:pPr>
      <w:r>
        <w:rPr>
          <w:rFonts w:hint="eastAsia" w:ascii="仿宋_GB2312" w:hAnsi="仿宋_GB2312" w:eastAsia="仿宋_GB2312" w:cs="仿宋_GB2312"/>
          <w:kern w:val="2"/>
          <w:sz w:val="32"/>
          <w:szCs w:val="32"/>
          <w:highlight w:val="none"/>
          <w:lang w:val="en-US" w:eastAsia="zh-CN" w:bidi="ar-SA"/>
        </w:rPr>
        <w:t>实施残疾人、老年人应急避难预案，对相关工作人员进行无障碍服务培训。</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b w:val="0"/>
          <w:bCs w:val="0"/>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第三十</w:t>
      </w:r>
      <w:r>
        <w:rPr>
          <w:rFonts w:hint="eastAsia" w:ascii="楷体" w:hAnsi="楷体" w:eastAsia="楷体" w:cs="楷体"/>
          <w:b/>
          <w:bCs/>
          <w:color w:val="auto"/>
          <w:kern w:val="0"/>
          <w:sz w:val="32"/>
          <w:szCs w:val="32"/>
          <w:highlight w:val="none"/>
          <w:lang w:eastAsia="zh-CN" w:bidi="ar"/>
        </w:rPr>
        <w:t>六</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设区的市、县（市、区）人民政府提供保障性住房和安置住房时，有无障碍环境需求的残疾人、老年人等行动不便的社会成员应当优先考虑选房。</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第三十</w:t>
      </w:r>
      <w:r>
        <w:rPr>
          <w:rFonts w:hint="eastAsia" w:ascii="楷体" w:hAnsi="楷体" w:eastAsia="楷体" w:cs="楷体"/>
          <w:b/>
          <w:bCs/>
          <w:color w:val="auto"/>
          <w:kern w:val="0"/>
          <w:sz w:val="32"/>
          <w:szCs w:val="32"/>
          <w:highlight w:val="none"/>
          <w:lang w:eastAsia="zh-CN" w:bidi="ar"/>
        </w:rPr>
        <w:t>七</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w:t>
      </w:r>
      <w:r>
        <w:rPr>
          <w:rFonts w:hint="eastAsia" w:ascii="仿宋_GB2312" w:hAnsi="仿宋_GB2312" w:eastAsia="仿宋_GB2312" w:cs="仿宋_GB2312"/>
          <w:kern w:val="2"/>
          <w:sz w:val="32"/>
          <w:szCs w:val="32"/>
          <w:highlight w:val="none"/>
          <w:lang w:val="en-US" w:eastAsia="zh-CN" w:bidi="ar-SA"/>
        </w:rPr>
        <w:t>设区的市人民政府公安、交通运输主管部门和残疾人组织应当指导有条件的机动车驾驶员培训机构开展残疾人驾驶培训业务，为残疾人申请机动车驾驶证、办理机动车登记和机动车安全技术检验等提供无障碍服务。</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strike w:val="0"/>
          <w:dstrike w:val="0"/>
          <w:color w:val="auto"/>
          <w:kern w:val="0"/>
          <w:sz w:val="32"/>
          <w:szCs w:val="32"/>
          <w:highlight w:val="none"/>
          <w:lang w:eastAsia="zh-CN" w:bidi="ar"/>
        </w:rPr>
        <w:t>第三十八条</w:t>
      </w:r>
      <w:r>
        <w:rPr>
          <w:rFonts w:hint="eastAsia" w:ascii="宋体" w:hAnsi="宋体" w:cs="宋体"/>
          <w:b/>
          <w:bCs/>
          <w:strike w:val="0"/>
          <w:color w:val="000000"/>
          <w:kern w:val="0"/>
          <w:sz w:val="32"/>
          <w:szCs w:val="32"/>
          <w:highlight w:val="none"/>
          <w:lang w:bidi="ar"/>
        </w:rPr>
        <w:t xml:space="preserve"> </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国家机关、社会团体以及基层群众性自治组织、住宅区业主委员会等在组织法定选举事项时，应当为残疾人、老年人参加选举提供便利，并根据需要为视力残疾人提供盲文选票或其他协助方式，为听力残疾人提供字幕或语音转文字服务。</w:t>
      </w:r>
    </w:p>
    <w:p>
      <w:pPr>
        <w:keepNext w:val="0"/>
        <w:keepLines w:val="0"/>
        <w:pageBreakBefore w:val="0"/>
        <w:widowControl/>
        <w:shd w:val="clear"/>
        <w:kinsoku/>
        <w:wordWrap/>
        <w:overflowPunct/>
        <w:topLinePunct w:val="0"/>
        <w:autoSpaceDE/>
        <w:autoSpaceDN/>
        <w:bidi w:val="0"/>
        <w:spacing w:line="579" w:lineRule="exact"/>
        <w:ind w:firstLine="420" w:firstLineChars="200"/>
        <w:jc w:val="left"/>
        <w:textAlignment w:val="auto"/>
        <w:rPr>
          <w:rFonts w:hint="eastAsia" w:ascii="Calibri" w:hAnsi="Calibri"/>
          <w:color w:val="333333"/>
          <w:sz w:val="21"/>
          <w:szCs w:val="21"/>
          <w:highlight w:val="none"/>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黑体" w:hAnsi="黑体" w:eastAsia="黑体" w:cs="黑体"/>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第五章 法律责任</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第三十</w:t>
      </w:r>
      <w:r>
        <w:rPr>
          <w:rFonts w:hint="eastAsia" w:ascii="楷体" w:hAnsi="楷体" w:eastAsia="楷体" w:cs="楷体"/>
          <w:b/>
          <w:bCs/>
          <w:color w:val="auto"/>
          <w:kern w:val="0"/>
          <w:sz w:val="32"/>
          <w:szCs w:val="32"/>
          <w:highlight w:val="none"/>
          <w:lang w:eastAsia="zh-CN" w:bidi="ar"/>
        </w:rPr>
        <w:t>九</w:t>
      </w:r>
      <w:r>
        <w:rPr>
          <w:rFonts w:hint="eastAsia" w:ascii="楷体" w:hAnsi="楷体" w:eastAsia="楷体" w:cs="楷体"/>
          <w:b/>
          <w:bCs/>
          <w:color w:val="auto"/>
          <w:kern w:val="0"/>
          <w:sz w:val="32"/>
          <w:szCs w:val="32"/>
          <w:highlight w:val="none"/>
          <w:lang w:bidi="ar"/>
        </w:rPr>
        <w:t>条</w:t>
      </w:r>
      <w:r>
        <w:rPr>
          <w:rFonts w:hint="eastAsia" w:ascii="宋体" w:hAnsi="宋体" w:cs="宋体"/>
          <w:b/>
          <w:bCs/>
          <w:color w:val="000000"/>
          <w:kern w:val="0"/>
          <w:sz w:val="32"/>
          <w:szCs w:val="32"/>
          <w:highlight w:val="none"/>
          <w:lang w:bidi="ar"/>
        </w:rPr>
        <w:t xml:space="preserve"> </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违反本办法第十二条规定，城镇新建、改建、扩建道路、公共交通设施、公共建筑、居住区、居住建筑，不符合无障碍设施工程建设标准的，由县级以上地方人民政府住房和城乡建设、交通运输主管部门或者城市管理行政执法部门责令改正，对建设单位处二十万元以上五十万元以下的罚款。</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val="0"/>
          <w:strike w:val="0"/>
          <w:dstrike w:val="0"/>
          <w:color w:val="000000"/>
          <w:kern w:val="0"/>
          <w:sz w:val="32"/>
          <w:szCs w:val="32"/>
          <w:highlight w:val="none"/>
          <w:u w:val="none"/>
          <w:lang w:bidi="ar"/>
        </w:rPr>
        <w:t>第</w:t>
      </w:r>
      <w:r>
        <w:rPr>
          <w:rFonts w:hint="eastAsia" w:ascii="楷体" w:hAnsi="楷体" w:eastAsia="楷体" w:cs="楷体"/>
          <w:b/>
          <w:bCs w:val="0"/>
          <w:strike w:val="0"/>
          <w:dstrike w:val="0"/>
          <w:color w:val="000000"/>
          <w:kern w:val="0"/>
          <w:sz w:val="32"/>
          <w:szCs w:val="32"/>
          <w:highlight w:val="none"/>
          <w:u w:val="none"/>
          <w:lang w:eastAsia="zh-CN" w:bidi="ar"/>
        </w:rPr>
        <w:t>四十</w:t>
      </w:r>
      <w:r>
        <w:rPr>
          <w:rFonts w:hint="eastAsia" w:ascii="楷体" w:hAnsi="楷体" w:eastAsia="楷体" w:cs="楷体"/>
          <w:b/>
          <w:bCs w:val="0"/>
          <w:strike w:val="0"/>
          <w:dstrike w:val="0"/>
          <w:color w:val="000000"/>
          <w:kern w:val="0"/>
          <w:sz w:val="32"/>
          <w:szCs w:val="32"/>
          <w:highlight w:val="none"/>
          <w:u w:val="none"/>
          <w:lang w:bidi="ar"/>
        </w:rPr>
        <w:t>条</w:t>
      </w:r>
      <w:r>
        <w:rPr>
          <w:rFonts w:hint="eastAsia" w:ascii="宋体" w:hAnsi="宋体" w:cs="宋体"/>
          <w:bCs/>
          <w:strike w:val="0"/>
          <w:dstrike w:val="0"/>
          <w:color w:val="000000"/>
          <w:kern w:val="0"/>
          <w:sz w:val="32"/>
          <w:szCs w:val="32"/>
          <w:highlight w:val="none"/>
          <w:u w:val="none"/>
          <w:lang w:bidi="ar"/>
        </w:rPr>
        <w:t xml:space="preserve"> </w:t>
      </w:r>
      <w:r>
        <w:rPr>
          <w:rFonts w:hint="eastAsia" w:ascii="宋体" w:hAnsi="宋体" w:cs="宋体"/>
          <w:bCs/>
          <w:strike w:val="0"/>
          <w:dstrike w:val="0"/>
          <w:color w:val="000000"/>
          <w:kern w:val="0"/>
          <w:sz w:val="32"/>
          <w:szCs w:val="32"/>
          <w:highlight w:val="none"/>
          <w:u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 xml:space="preserve">违反本办法第十三条规定，新建房屋建筑、市政基础设施、交通运输设施及其公路客运站、火车站、机场航站楼有下列行为之一的，由县级以上地方人民政府住房和城乡建设、交通运输主管部门根据监管职责责令改正，处十万元以上三十万元以下罚款；情节严重的，由颁发资质证书的部门降低资质等级或者吊销资质证书；造成损失的，依法承担赔偿责任： </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（一）设计单位未按照无障碍设施工程建设标准设计无障碍设施的；</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 xml:space="preserve">（二）施工单位未按照审查合格的施工图设计文件进行无障碍设施施工的； </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（三）工程监理单位对未按照无障碍设施工程建设有关标准和审查合格的施工图设计文件配套无障碍设施签署合格意见的。</w:t>
      </w:r>
    </w:p>
    <w:p>
      <w:pPr>
        <w:keepNext w:val="0"/>
        <w:keepLines w:val="0"/>
        <w:pageBreakBefore w:val="0"/>
        <w:widowControl/>
        <w:shd w:val="clear"/>
        <w:kinsoku/>
        <w:wordWrap/>
        <w:overflowPunct/>
        <w:topLinePunct w:val="0"/>
        <w:autoSpaceDE/>
        <w:autoSpaceDN/>
        <w:bidi w:val="0"/>
        <w:spacing w:line="579" w:lineRule="exact"/>
        <w:ind w:firstLine="660"/>
        <w:jc w:val="left"/>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施工图设计文件审查机构未按照无障碍设施工程建设标准对施工图设计文件进行审查的，由县级以上地方人民政府住房城乡建设主管部门责令改正，处3万元罚款，并记入信用档案；情节严重的，省人民政府住房城乡建设主管部门不再将其列入审查机构名录。</w:t>
      </w:r>
    </w:p>
    <w:p>
      <w:pPr>
        <w:keepNext w:val="0"/>
        <w:keepLines w:val="0"/>
        <w:pageBreakBefore w:val="0"/>
        <w:widowControl/>
        <w:shd w:val="clear"/>
        <w:kinsoku/>
        <w:wordWrap/>
        <w:overflowPunct/>
        <w:topLinePunct w:val="0"/>
        <w:autoSpaceDE/>
        <w:autoSpaceDN/>
        <w:bidi w:val="0"/>
        <w:spacing w:line="579" w:lineRule="exact"/>
        <w:ind w:firstLine="643" w:firstLineChars="200"/>
        <w:textAlignment w:val="auto"/>
        <w:rPr>
          <w:rFonts w:hint="eastAsia" w:ascii="宋体" w:hAnsi="宋体" w:eastAsia="宋体" w:cs="宋体"/>
          <w:color w:val="000000"/>
          <w:sz w:val="32"/>
          <w:szCs w:val="32"/>
          <w:highlight w:val="none"/>
          <w:u w:val="wave"/>
          <w:lang w:eastAsia="zh-CN" w:bidi="ar"/>
        </w:rPr>
      </w:pPr>
      <w:r>
        <w:rPr>
          <w:rFonts w:hint="eastAsia" w:ascii="楷体" w:hAnsi="楷体" w:eastAsia="楷体" w:cs="楷体"/>
          <w:b/>
          <w:bCs/>
          <w:color w:val="auto"/>
          <w:kern w:val="0"/>
          <w:sz w:val="32"/>
          <w:szCs w:val="32"/>
          <w:highlight w:val="none"/>
          <w:lang w:val="en-US" w:eastAsia="zh-CN" w:bidi="ar"/>
        </w:rPr>
        <w:t>第四十一条</w:t>
      </w:r>
      <w:r>
        <w:rPr>
          <w:rFonts w:hint="eastAsia" w:ascii="宋体" w:hAnsi="宋体" w:cs="宋体"/>
          <w:b/>
          <w:bCs/>
          <w:color w:val="000000"/>
          <w:sz w:val="32"/>
          <w:szCs w:val="32"/>
          <w:highlight w:val="none"/>
          <w:lang w:bidi="ar"/>
        </w:rPr>
        <w:t xml:space="preserve"> </w:t>
      </w:r>
      <w:r>
        <w:rPr>
          <w:rFonts w:hint="eastAsia" w:ascii="宋体" w:hAnsi="宋体" w:cs="宋体"/>
          <w:color w:val="00000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建设单位违反本办法第十四条第一款规定的，将未组织竣工验收或验收不合格的无障碍设施擅自交付使用，或对不合格的无障碍设施按照合格工程验收的，由县级以上地方人民政府住房和城乡建设、交通运输主管部门或者城市管理行政执法部门责令改正，处工程合同价款百分之二以上百分之四以下的罚款；造成损失的，依法承担赔偿责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43"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strike w:val="0"/>
          <w:dstrike w:val="0"/>
          <w:color w:val="000000"/>
          <w:kern w:val="0"/>
          <w:sz w:val="32"/>
          <w:szCs w:val="32"/>
          <w:highlight w:val="none"/>
          <w:u w:val="none"/>
          <w:lang w:eastAsia="zh-CN" w:bidi="ar"/>
        </w:rPr>
        <w:t>第四十二条</w:t>
      </w:r>
      <w:r>
        <w:rPr>
          <w:rFonts w:hint="eastAsia" w:ascii="宋体" w:hAnsi="宋体" w:cs="宋体"/>
          <w:b w:val="0"/>
          <w:bCs w:val="0"/>
          <w:color w:val="000000"/>
          <w:kern w:val="0"/>
          <w:sz w:val="32"/>
          <w:szCs w:val="32"/>
          <w:highlight w:val="none"/>
          <w:u w:val="none"/>
          <w:lang w:bidi="ar"/>
        </w:rPr>
        <w:t xml:space="preserve"> </w:t>
      </w:r>
      <w:r>
        <w:rPr>
          <w:rFonts w:hint="eastAsia" w:ascii="宋体" w:hAnsi="宋体" w:cs="宋体"/>
          <w:b w:val="0"/>
          <w:bCs w:val="0"/>
          <w:color w:val="000000"/>
          <w:kern w:val="0"/>
          <w:sz w:val="32"/>
          <w:szCs w:val="32"/>
          <w:highlight w:val="none"/>
          <w:u w:val="none"/>
          <w:lang w:val="en-US" w:eastAsia="zh-CN" w:bidi="ar"/>
        </w:rPr>
        <w:t xml:space="preserve"> </w:t>
      </w:r>
      <w:bookmarkStart w:id="1" w:name="_Hlk41550751"/>
      <w:r>
        <w:rPr>
          <w:rFonts w:hint="eastAsia" w:ascii="仿宋_GB2312" w:hAnsi="仿宋_GB2312" w:eastAsia="仿宋_GB2312" w:cs="仿宋_GB2312"/>
          <w:kern w:val="2"/>
          <w:sz w:val="32"/>
          <w:szCs w:val="32"/>
          <w:highlight w:val="none"/>
          <w:lang w:val="en-US" w:eastAsia="zh-CN" w:bidi="ar-SA"/>
        </w:rPr>
        <w:t>违反本办法第二十一条第二款规定，损坏、占用无障碍设施，影响无障碍设施使用的</w:t>
      </w:r>
      <w:r>
        <w:rPr>
          <w:rFonts w:hint="default" w:ascii="仿宋_GB2312" w:hAnsi="仿宋_GB2312" w:eastAsia="仿宋_GB2312" w:cs="仿宋_GB2312"/>
          <w:kern w:val="2"/>
          <w:sz w:val="32"/>
          <w:szCs w:val="32"/>
          <w:highlight w:val="none"/>
          <w:lang w:val="en-US" w:eastAsia="zh-CN" w:bidi="ar-SA"/>
        </w:rPr>
        <w:t>行为，所有权人和管理人应当及时予以制止或者纠正，并向有关主管部门报告</w:t>
      </w:r>
      <w:r>
        <w:rPr>
          <w:rFonts w:hint="eastAsia" w:ascii="仿宋_GB2312" w:hAnsi="仿宋_GB2312" w:eastAsia="仿宋_GB2312" w:cs="仿宋_GB2312"/>
          <w:kern w:val="2"/>
          <w:sz w:val="32"/>
          <w:szCs w:val="32"/>
          <w:highlight w:val="none"/>
          <w:lang w:val="en-US" w:eastAsia="zh-CN" w:bidi="ar-SA"/>
        </w:rPr>
        <w:t>。对损坏、占用无障碍设施的，有关部门应当</w:t>
      </w:r>
      <w:r>
        <w:rPr>
          <w:rFonts w:hint="default" w:ascii="仿宋_GB2312" w:hAnsi="仿宋_GB2312" w:eastAsia="仿宋_GB2312" w:cs="仿宋_GB2312"/>
          <w:kern w:val="2"/>
          <w:sz w:val="32"/>
          <w:szCs w:val="32"/>
          <w:highlight w:val="none"/>
          <w:lang w:val="en-US" w:eastAsia="zh-CN" w:bidi="ar-SA"/>
        </w:rPr>
        <w:t>责令改正</w:t>
      </w:r>
      <w:r>
        <w:rPr>
          <w:rFonts w:hint="eastAsia" w:ascii="仿宋_GB2312" w:hAnsi="仿宋_GB2312" w:eastAsia="仿宋_GB2312" w:cs="仿宋_GB2312"/>
          <w:kern w:val="2"/>
          <w:sz w:val="32"/>
          <w:szCs w:val="32"/>
          <w:highlight w:val="none"/>
          <w:lang w:val="en-US" w:eastAsia="zh-CN" w:bidi="ar-SA"/>
        </w:rPr>
        <w:t>，恢复原状，赔偿损失，对个人处一千元以上一万元以下罚款，对单位处二万元以上五万元以下罚款。</w:t>
      </w:r>
    </w:p>
    <w:p>
      <w:pPr>
        <w:keepNext w:val="0"/>
        <w:keepLines w:val="0"/>
        <w:pageBreakBefore w:val="0"/>
        <w:widowControl/>
        <w:shd w:val="clear"/>
        <w:kinsoku/>
        <w:wordWrap/>
        <w:overflowPunct/>
        <w:topLinePunct w:val="0"/>
        <w:autoSpaceDE/>
        <w:autoSpaceDN/>
        <w:bidi w:val="0"/>
        <w:spacing w:line="579" w:lineRule="exact"/>
        <w:ind w:firstLine="640" w:firstLineChars="200"/>
        <w:jc w:val="left"/>
        <w:textAlignment w:val="auto"/>
        <w:rPr>
          <w:rFonts w:hint="eastAsia" w:ascii="宋体" w:hAnsi="宋体" w:cs="宋体"/>
          <w:b w:val="0"/>
          <w:bCs w:val="0"/>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对</w:t>
      </w:r>
      <w:r>
        <w:rPr>
          <w:rFonts w:hint="default" w:ascii="仿宋_GB2312" w:hAnsi="仿宋_GB2312" w:eastAsia="仿宋_GB2312" w:cs="仿宋_GB2312"/>
          <w:kern w:val="2"/>
          <w:sz w:val="32"/>
          <w:szCs w:val="32"/>
          <w:highlight w:val="none"/>
          <w:lang w:val="en-US" w:eastAsia="zh-CN" w:bidi="ar-SA"/>
        </w:rPr>
        <w:t>违反《中华人民共和国治安管理</w:t>
      </w:r>
      <w:r>
        <w:rPr>
          <w:rFonts w:hint="eastAsia" w:ascii="仿宋_GB2312" w:hAnsi="仿宋_GB2312" w:eastAsia="仿宋_GB2312" w:cs="仿宋_GB2312"/>
          <w:kern w:val="2"/>
          <w:sz w:val="32"/>
          <w:szCs w:val="32"/>
          <w:highlight w:val="none"/>
          <w:lang w:val="en-US" w:eastAsia="zh-CN" w:bidi="ar-SA"/>
        </w:rPr>
        <w:t>处罚法》的，由公安机关予以处罚；构成犯罪的，依法追究刑事责任。</w:t>
      </w:r>
    </w:p>
    <w:bookmarkEnd w:id="1"/>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83"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000000"/>
          <w:spacing w:val="10"/>
          <w:kern w:val="0"/>
          <w:sz w:val="32"/>
          <w:szCs w:val="32"/>
          <w:highlight w:val="none"/>
          <w:u w:val="none"/>
          <w:lang w:bidi="ar"/>
        </w:rPr>
        <w:t>第四十</w:t>
      </w:r>
      <w:r>
        <w:rPr>
          <w:rFonts w:hint="eastAsia" w:ascii="楷体" w:hAnsi="楷体" w:eastAsia="楷体" w:cs="楷体"/>
          <w:b/>
          <w:bCs/>
          <w:color w:val="000000"/>
          <w:spacing w:val="10"/>
          <w:kern w:val="0"/>
          <w:sz w:val="32"/>
          <w:szCs w:val="32"/>
          <w:highlight w:val="none"/>
          <w:u w:val="none"/>
          <w:lang w:eastAsia="zh-CN" w:bidi="ar"/>
        </w:rPr>
        <w:t>三</w:t>
      </w:r>
      <w:r>
        <w:rPr>
          <w:rFonts w:hint="eastAsia" w:ascii="楷体" w:hAnsi="楷体" w:eastAsia="楷体" w:cs="楷体"/>
          <w:b/>
          <w:bCs/>
          <w:color w:val="000000"/>
          <w:spacing w:val="10"/>
          <w:kern w:val="0"/>
          <w:sz w:val="32"/>
          <w:szCs w:val="32"/>
          <w:highlight w:val="none"/>
          <w:u w:val="none"/>
          <w:lang w:bidi="ar"/>
        </w:rPr>
        <w:t>条</w:t>
      </w:r>
      <w:r>
        <w:rPr>
          <w:rFonts w:hint="eastAsia" w:ascii="宋体" w:hAnsi="宋体" w:eastAsia="宋体" w:cs="宋体"/>
          <w:b w:val="0"/>
          <w:bCs w:val="0"/>
          <w:color w:val="000000"/>
          <w:spacing w:val="10"/>
          <w:kern w:val="0"/>
          <w:sz w:val="32"/>
          <w:szCs w:val="32"/>
          <w:highlight w:val="none"/>
        </w:rPr>
        <w:t xml:space="preserve"> </w:t>
      </w:r>
      <w:r>
        <w:rPr>
          <w:rFonts w:hint="eastAsia" w:ascii="宋体" w:hAnsi="宋体" w:eastAsia="宋体" w:cs="宋体"/>
          <w:b w:val="0"/>
          <w:bCs w:val="0"/>
          <w:color w:val="000000"/>
          <w:spacing w:val="10"/>
          <w:kern w:val="0"/>
          <w:sz w:val="32"/>
          <w:szCs w:val="32"/>
          <w:highlight w:val="none"/>
          <w:lang w:val="en-US" w:eastAsia="zh-CN"/>
        </w:rPr>
        <w:t xml:space="preserve"> </w:t>
      </w:r>
      <w:r>
        <w:rPr>
          <w:rFonts w:hint="eastAsia" w:ascii="仿宋_GB2312" w:hAnsi="仿宋_GB2312" w:eastAsia="仿宋_GB2312" w:cs="仿宋_GB2312"/>
          <w:kern w:val="2"/>
          <w:sz w:val="32"/>
          <w:szCs w:val="32"/>
          <w:highlight w:val="none"/>
          <w:lang w:val="en-US" w:eastAsia="zh-CN" w:bidi="ar-SA"/>
        </w:rPr>
        <w:t>违反本办法第十九条规定，已建成的城市公共停车场未按照要求设置无障碍停车位，或者未保证肢体残疾人驾驶或者乘坐机动车使用无障碍停车位的，由县级以上地方人民政府住房城乡建设、交通运输等相关行政主管部门责令限期改正；逾期未改正的，对停车场所有权人或者管理人处一千元以上一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40"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由交通运输主管部门批准、设计、建设的汽车客运站、火车站、机场航道楼等配套的停车场，发生前款规定情形的，由交通运输行政主管主管部门比照前款规定处罚。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40" w:firstLineChars="200"/>
        <w:textAlignment w:val="baseline"/>
        <w:rPr>
          <w:rFonts w:hint="eastAsia" w:ascii="宋体" w:hAnsi="宋体" w:cs="宋体"/>
          <w:b w:val="0"/>
          <w:bCs w:val="0"/>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机动车、非机动车违反停车规定，占用盲道、坡道、停车位等无障碍设施的，由城市管理行政执法部门处罚；占用车行道妨碍车辆通行的，由公安等有关部门责令改正，按照《中华人民共和国道路交通安全法》等法律、法规的规定给予处罚。</w:t>
      </w:r>
      <w:bookmarkStart w:id="2" w:name="_Hlk41550735"/>
      <w:r>
        <w:rPr>
          <w:rFonts w:hint="eastAsia" w:ascii="宋体" w:hAnsi="宋体" w:eastAsia="宋体" w:cs="宋体"/>
          <w:b w:val="0"/>
          <w:bCs w:val="0"/>
          <w:color w:val="000000"/>
          <w:spacing w:val="10"/>
          <w:kern w:val="0"/>
          <w:sz w:val="32"/>
          <w:szCs w:val="32"/>
          <w:highlight w:val="none"/>
        </w:rPr>
        <w:t xml:space="preserve"> </w:t>
      </w:r>
      <w:bookmarkEnd w:id="2"/>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43" w:firstLineChars="200"/>
        <w:textAlignment w:val="baseline"/>
        <w:rPr>
          <w:rFonts w:hint="eastAsia" w:ascii="仿宋_GB2312" w:hAnsi="仿宋_GB2312" w:eastAsia="仿宋_GB2312" w:cs="仿宋_GB2312"/>
          <w:kern w:val="2"/>
          <w:sz w:val="32"/>
          <w:szCs w:val="32"/>
          <w:highlight w:val="none"/>
          <w:lang w:val="en-US" w:eastAsia="zh-CN" w:bidi="ar-SA"/>
        </w:rPr>
      </w:pPr>
      <w:r>
        <w:rPr>
          <w:rFonts w:hint="eastAsia" w:ascii="楷体" w:hAnsi="楷体" w:eastAsia="楷体" w:cs="楷体"/>
          <w:b/>
          <w:bCs/>
          <w:color w:val="auto"/>
          <w:kern w:val="0"/>
          <w:sz w:val="32"/>
          <w:szCs w:val="32"/>
          <w:highlight w:val="none"/>
          <w:lang w:bidi="ar"/>
        </w:rPr>
        <w:t>第四十</w:t>
      </w:r>
      <w:r>
        <w:rPr>
          <w:rFonts w:hint="eastAsia" w:ascii="楷体" w:hAnsi="楷体" w:eastAsia="楷体" w:cs="楷体"/>
          <w:b/>
          <w:bCs/>
          <w:color w:val="auto"/>
          <w:kern w:val="0"/>
          <w:sz w:val="32"/>
          <w:szCs w:val="32"/>
          <w:highlight w:val="none"/>
          <w:lang w:eastAsia="zh-CN" w:bidi="ar"/>
        </w:rPr>
        <w:t>四</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违反本办法第二十一条第一款规定，无障碍设施所有权人和管理人，未按计划进行无障碍改造或者未对无障碍设施进行管理和维护的，由住房城乡建设、交通运输、城市管理、负责公共建筑使用安全的行业主管部门责令限期改正，逾期不改正的，处一万元以上五万元以下罚款。</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79" w:lineRule="exact"/>
        <w:ind w:right="0" w:firstLine="640" w:firstLineChars="200"/>
        <w:textAlignment w:val="baseline"/>
        <w:rPr>
          <w:rFonts w:hint="eastAsia" w:ascii="宋体" w:hAnsi="宋体" w:cs="宋体"/>
          <w:color w:val="000000"/>
          <w:kern w:val="0"/>
          <w:sz w:val="32"/>
          <w:szCs w:val="32"/>
          <w:highlight w:val="none"/>
          <w:lang w:bidi="ar"/>
        </w:rPr>
      </w:pPr>
      <w:r>
        <w:rPr>
          <w:rFonts w:hint="eastAsia" w:ascii="仿宋_GB2312" w:hAnsi="仿宋_GB2312" w:eastAsia="仿宋_GB2312" w:cs="仿宋_GB2312"/>
          <w:kern w:val="2"/>
          <w:sz w:val="32"/>
          <w:szCs w:val="32"/>
          <w:highlight w:val="none"/>
          <w:lang w:val="en-US" w:eastAsia="zh-CN" w:bidi="ar-SA"/>
        </w:rPr>
        <w:t>未对无障碍设施进行有效管理和及时维护，造成使用人人身、财产损害的，无障碍设施所有权人或管理人应当承担赔偿责任。</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第四十</w:t>
      </w:r>
      <w:r>
        <w:rPr>
          <w:rFonts w:hint="eastAsia" w:ascii="楷体" w:hAnsi="楷体" w:eastAsia="楷体" w:cs="楷体"/>
          <w:b/>
          <w:bCs/>
          <w:color w:val="auto"/>
          <w:kern w:val="0"/>
          <w:sz w:val="32"/>
          <w:szCs w:val="32"/>
          <w:highlight w:val="none"/>
          <w:lang w:eastAsia="zh-CN" w:bidi="ar"/>
        </w:rPr>
        <w:t>五</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无障碍环境建设主管部门工作人员滥用职权、玩忽职守、徇私舞弊的，依法给予行政处分；构成犯罪的，依法追究刑事责任。</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eastAsia" w:ascii="宋体" w:hAnsi="宋体" w:cs="宋体"/>
          <w:color w:val="000000"/>
          <w:kern w:val="0"/>
          <w:sz w:val="32"/>
          <w:szCs w:val="32"/>
          <w:highlight w:val="none"/>
          <w:lang w:bidi="ar"/>
        </w:rPr>
      </w:pPr>
      <w:r>
        <w:rPr>
          <w:rFonts w:hint="eastAsia" w:ascii="楷体" w:hAnsi="楷体" w:eastAsia="楷体" w:cs="楷体"/>
          <w:b/>
          <w:bCs/>
          <w:color w:val="auto"/>
          <w:kern w:val="0"/>
          <w:sz w:val="32"/>
          <w:szCs w:val="32"/>
          <w:highlight w:val="none"/>
          <w:lang w:bidi="ar"/>
        </w:rPr>
        <w:t>第四十</w:t>
      </w:r>
      <w:r>
        <w:rPr>
          <w:rFonts w:hint="eastAsia" w:ascii="楷体" w:hAnsi="楷体" w:eastAsia="楷体" w:cs="楷体"/>
          <w:b/>
          <w:bCs/>
          <w:color w:val="auto"/>
          <w:kern w:val="0"/>
          <w:sz w:val="32"/>
          <w:szCs w:val="32"/>
          <w:highlight w:val="none"/>
          <w:lang w:eastAsia="zh-CN" w:bidi="ar"/>
        </w:rPr>
        <w:t>六</w:t>
      </w:r>
      <w:r>
        <w:rPr>
          <w:rFonts w:hint="eastAsia" w:ascii="楷体" w:hAnsi="楷体" w:eastAsia="楷体" w:cs="楷体"/>
          <w:b/>
          <w:bCs/>
          <w:color w:val="auto"/>
          <w:kern w:val="0"/>
          <w:sz w:val="32"/>
          <w:szCs w:val="32"/>
          <w:highlight w:val="none"/>
          <w:lang w:bidi="ar"/>
        </w:rPr>
        <w:t>条</w:t>
      </w:r>
      <w:r>
        <w:rPr>
          <w:rFonts w:hint="eastAsia" w:ascii="宋体" w:hAnsi="宋体" w:cs="宋体"/>
          <w:b/>
          <w:bCs/>
          <w:color w:val="auto"/>
          <w:kern w:val="0"/>
          <w:sz w:val="32"/>
          <w:szCs w:val="32"/>
          <w:highlight w:val="none"/>
          <w:lang w:val="en-US" w:eastAsia="zh-CN" w:bidi="ar"/>
        </w:rPr>
        <w:t xml:space="preserve"> </w:t>
      </w:r>
      <w:r>
        <w:rPr>
          <w:rFonts w:hint="eastAsia" w:ascii="宋体" w:hAnsi="宋体" w:cs="宋体"/>
          <w:color w:val="000000"/>
          <w:kern w:val="0"/>
          <w:sz w:val="32"/>
          <w:szCs w:val="32"/>
          <w:highlight w:val="none"/>
          <w:lang w:bidi="ar"/>
        </w:rPr>
        <w:t xml:space="preserve"> </w:t>
      </w:r>
      <w:r>
        <w:rPr>
          <w:rFonts w:hint="eastAsia" w:ascii="仿宋_GB2312" w:hAnsi="仿宋_GB2312" w:eastAsia="仿宋_GB2312" w:cs="仿宋_GB2312"/>
          <w:kern w:val="2"/>
          <w:sz w:val="32"/>
          <w:szCs w:val="32"/>
          <w:highlight w:val="none"/>
          <w:lang w:val="en-US" w:eastAsia="zh-CN" w:bidi="ar-SA"/>
        </w:rPr>
        <w:t>对违反本办法规定的行为，法律、法规规定法律责任的，适用其规定。</w:t>
      </w:r>
      <w:r>
        <w:rPr>
          <w:rFonts w:hint="eastAsia" w:ascii="宋体" w:hAnsi="宋体" w:cs="宋体"/>
          <w:color w:val="000000"/>
          <w:kern w:val="0"/>
          <w:sz w:val="32"/>
          <w:szCs w:val="32"/>
          <w:highlight w:val="none"/>
          <w:lang w:bidi="ar"/>
        </w:rPr>
        <w:t xml:space="preserve">  </w:t>
      </w:r>
    </w:p>
    <w:p>
      <w:pPr>
        <w:keepNext w:val="0"/>
        <w:keepLines w:val="0"/>
        <w:pageBreakBefore w:val="0"/>
        <w:widowControl/>
        <w:shd w:val="clear"/>
        <w:kinsoku/>
        <w:wordWrap/>
        <w:overflowPunct/>
        <w:topLinePunct w:val="0"/>
        <w:autoSpaceDE/>
        <w:autoSpaceDN/>
        <w:bidi w:val="0"/>
        <w:spacing w:line="579" w:lineRule="exact"/>
        <w:jc w:val="left"/>
        <w:textAlignment w:val="auto"/>
        <w:rPr>
          <w:rFonts w:hint="eastAsia" w:ascii="宋体" w:hAnsi="宋体" w:cs="宋体"/>
          <w:color w:val="000000"/>
          <w:kern w:val="0"/>
          <w:sz w:val="32"/>
          <w:szCs w:val="32"/>
          <w:highlight w:val="none"/>
          <w:lang w:bidi="ar"/>
        </w:rPr>
      </w:pPr>
    </w:p>
    <w:p>
      <w:pPr>
        <w:keepNext w:val="0"/>
        <w:keepLines w:val="0"/>
        <w:pageBreakBefore w:val="0"/>
        <w:widowControl/>
        <w:shd w:val="clear"/>
        <w:kinsoku/>
        <w:wordWrap/>
        <w:overflowPunct/>
        <w:topLinePunct w:val="0"/>
        <w:autoSpaceDE/>
        <w:autoSpaceDN/>
        <w:bidi w:val="0"/>
        <w:spacing w:line="579" w:lineRule="exact"/>
        <w:jc w:val="center"/>
        <w:textAlignment w:val="auto"/>
        <w:rPr>
          <w:rFonts w:hint="eastAsia" w:ascii="黑体" w:hAnsi="黑体" w:eastAsia="黑体" w:cs="黑体"/>
          <w:color w:val="000000"/>
          <w:kern w:val="0"/>
          <w:sz w:val="32"/>
          <w:szCs w:val="32"/>
          <w:highlight w:val="none"/>
          <w:lang w:bidi="ar"/>
        </w:rPr>
      </w:pPr>
      <w:r>
        <w:rPr>
          <w:rFonts w:hint="eastAsia" w:ascii="黑体" w:hAnsi="黑体" w:eastAsia="黑体" w:cs="黑体"/>
          <w:b/>
          <w:bCs/>
          <w:color w:val="000000"/>
          <w:kern w:val="0"/>
          <w:sz w:val="32"/>
          <w:szCs w:val="32"/>
          <w:highlight w:val="none"/>
          <w:lang w:bidi="ar"/>
        </w:rPr>
        <w:t>第六章 附则</w:t>
      </w:r>
    </w:p>
    <w:p>
      <w:pPr>
        <w:keepNext w:val="0"/>
        <w:keepLines w:val="0"/>
        <w:pageBreakBefore w:val="0"/>
        <w:widowControl/>
        <w:shd w:val="clear"/>
        <w:kinsoku/>
        <w:wordWrap/>
        <w:overflowPunct/>
        <w:topLinePunct w:val="0"/>
        <w:autoSpaceDE/>
        <w:autoSpaceDN/>
        <w:bidi w:val="0"/>
        <w:spacing w:line="579" w:lineRule="exact"/>
        <w:ind w:firstLine="643" w:firstLineChars="200"/>
        <w:jc w:val="left"/>
        <w:textAlignment w:val="auto"/>
        <w:rPr>
          <w:rFonts w:hint="default" w:ascii="Times New Roman" w:hAnsi="Times New Roman" w:eastAsia="仿宋_GB2312" w:cs="Times New Roman"/>
          <w:sz w:val="32"/>
          <w:szCs w:val="32"/>
          <w:lang w:val="en-US" w:eastAsia="zh-CN"/>
        </w:rPr>
      </w:pPr>
      <w:r>
        <w:rPr>
          <w:rFonts w:hint="eastAsia" w:ascii="楷体" w:hAnsi="楷体" w:eastAsia="楷体" w:cs="楷体"/>
          <w:b/>
          <w:bCs/>
          <w:color w:val="auto"/>
          <w:kern w:val="0"/>
          <w:sz w:val="32"/>
          <w:szCs w:val="32"/>
          <w:highlight w:val="none"/>
          <w:lang w:bidi="ar"/>
        </w:rPr>
        <w:t>第四十</w:t>
      </w:r>
      <w:r>
        <w:rPr>
          <w:rFonts w:hint="eastAsia" w:ascii="楷体" w:hAnsi="楷体" w:eastAsia="楷体" w:cs="楷体"/>
          <w:b/>
          <w:bCs/>
          <w:color w:val="auto"/>
          <w:kern w:val="0"/>
          <w:sz w:val="32"/>
          <w:szCs w:val="32"/>
          <w:highlight w:val="none"/>
          <w:lang w:eastAsia="zh-CN" w:bidi="ar"/>
        </w:rPr>
        <w:t>七</w:t>
      </w:r>
      <w:r>
        <w:rPr>
          <w:rFonts w:hint="eastAsia" w:ascii="楷体" w:hAnsi="楷体" w:eastAsia="楷体" w:cs="楷体"/>
          <w:b/>
          <w:bCs/>
          <w:color w:val="auto"/>
          <w:kern w:val="0"/>
          <w:sz w:val="32"/>
          <w:szCs w:val="32"/>
          <w:highlight w:val="none"/>
          <w:lang w:bidi="ar"/>
        </w:rPr>
        <w:t>条</w:t>
      </w:r>
      <w:r>
        <w:rPr>
          <w:rFonts w:hint="eastAsia" w:ascii="宋体" w:hAnsi="宋体" w:cs="宋体"/>
          <w:color w:val="000000"/>
          <w:kern w:val="0"/>
          <w:sz w:val="32"/>
          <w:szCs w:val="32"/>
          <w:highlight w:val="none"/>
          <w:lang w:bidi="ar"/>
        </w:rPr>
        <w:t xml:space="preserve"> </w:t>
      </w:r>
      <w:r>
        <w:rPr>
          <w:rFonts w:hint="eastAsia" w:ascii="宋体" w:hAnsi="宋体" w:cs="宋体"/>
          <w:color w:val="000000"/>
          <w:kern w:val="0"/>
          <w:sz w:val="32"/>
          <w:szCs w:val="32"/>
          <w:highlight w:val="none"/>
          <w:lang w:val="en-US" w:eastAsia="zh-CN" w:bidi="ar"/>
        </w:rPr>
        <w:t xml:space="preserve"> </w:t>
      </w:r>
      <w:r>
        <w:rPr>
          <w:rFonts w:hint="eastAsia" w:ascii="仿宋_GB2312" w:hAnsi="仿宋_GB2312" w:eastAsia="仿宋_GB2312" w:cs="仿宋_GB2312"/>
          <w:kern w:val="2"/>
          <w:sz w:val="32"/>
          <w:szCs w:val="32"/>
          <w:highlight w:val="none"/>
          <w:lang w:val="en-US" w:eastAsia="zh-CN" w:bidi="ar-SA"/>
        </w:rPr>
        <w:t>本办法自 ２０   年   月   日起施行。</w:t>
      </w:r>
      <w:bookmarkStart w:id="3" w:name="_GoBack"/>
      <w:bookmarkEnd w:id="3"/>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7A"/>
    <w:family w:val="modern"/>
    <w:pitch w:val="default"/>
    <w:sig w:usb0="800002BF" w:usb1="38CF7CFA" w:usb2="00000016" w:usb3="00000000" w:csb0="00040001" w:csb1="00000000"/>
  </w:font>
  <w:font w:name="华文中宋">
    <w:panose1 w:val="02010600040101010101"/>
    <w:charset w:val="7A"/>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44"/>
                        <w:lang w:eastAsia="zh-CN"/>
                      </w:rPr>
                    </w:pPr>
                    <w:r>
                      <w:rPr>
                        <w:rFonts w:hint="eastAsia" w:ascii="宋体" w:hAnsi="宋体" w:eastAsia="宋体" w:cs="宋体"/>
                        <w:sz w:val="28"/>
                        <w:szCs w:val="44"/>
                        <w:lang w:eastAsia="zh-CN"/>
                      </w:rPr>
                      <w:fldChar w:fldCharType="begin"/>
                    </w:r>
                    <w:r>
                      <w:rPr>
                        <w:rFonts w:hint="eastAsia" w:ascii="宋体" w:hAnsi="宋体" w:eastAsia="宋体" w:cs="宋体"/>
                        <w:sz w:val="28"/>
                        <w:szCs w:val="44"/>
                        <w:lang w:eastAsia="zh-CN"/>
                      </w:rPr>
                      <w:instrText xml:space="preserve"> PAGE  \* MERGEFORMAT </w:instrText>
                    </w:r>
                    <w:r>
                      <w:rPr>
                        <w:rFonts w:hint="eastAsia" w:ascii="宋体" w:hAnsi="宋体" w:eastAsia="宋体" w:cs="宋体"/>
                        <w:sz w:val="28"/>
                        <w:szCs w:val="44"/>
                        <w:lang w:eastAsia="zh-CN"/>
                      </w:rPr>
                      <w:fldChar w:fldCharType="separate"/>
                    </w:r>
                    <w:r>
                      <w:rPr>
                        <w:rFonts w:hint="eastAsia" w:ascii="宋体" w:hAnsi="宋体" w:eastAsia="宋体" w:cs="宋体"/>
                        <w:sz w:val="28"/>
                        <w:szCs w:val="44"/>
                        <w:lang w:eastAsia="zh-CN"/>
                      </w:rPr>
                      <w:t>1</w:t>
                    </w:r>
                    <w:r>
                      <w:rPr>
                        <w:rFonts w:hint="eastAsia" w:ascii="宋体" w:hAnsi="宋体" w:eastAsia="宋体" w:cs="宋体"/>
                        <w:sz w:val="28"/>
                        <w:szCs w:val="44"/>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B47A45"/>
    <w:rsid w:val="0199301F"/>
    <w:rsid w:val="024F2356"/>
    <w:rsid w:val="03CF59C7"/>
    <w:rsid w:val="05BD4B08"/>
    <w:rsid w:val="0A960011"/>
    <w:rsid w:val="102A0E46"/>
    <w:rsid w:val="12FB5493"/>
    <w:rsid w:val="184361CF"/>
    <w:rsid w:val="1E486C32"/>
    <w:rsid w:val="204C70E2"/>
    <w:rsid w:val="2DC767A5"/>
    <w:rsid w:val="30500DE7"/>
    <w:rsid w:val="3CE5119E"/>
    <w:rsid w:val="43511A13"/>
    <w:rsid w:val="442500C1"/>
    <w:rsid w:val="56023F18"/>
    <w:rsid w:val="566C771E"/>
    <w:rsid w:val="585F0CC3"/>
    <w:rsid w:val="5AE724FE"/>
    <w:rsid w:val="5D701DE1"/>
    <w:rsid w:val="615F3A81"/>
    <w:rsid w:val="66083E05"/>
    <w:rsid w:val="67BC2A04"/>
    <w:rsid w:val="69BF592E"/>
    <w:rsid w:val="6A3D0E96"/>
    <w:rsid w:val="70920419"/>
    <w:rsid w:val="713D6CC2"/>
    <w:rsid w:val="72B47A45"/>
    <w:rsid w:val="758C1942"/>
    <w:rsid w:val="7A4010AC"/>
    <w:rsid w:val="7ECC58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Salutation"/>
    <w:basedOn w:val="1"/>
    <w:next w:val="1"/>
    <w:unhideWhenUsed/>
    <w:qFormat/>
    <w:uiPriority w:val="99"/>
    <w:rPr>
      <w:szCs w:val="24"/>
    </w:r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常用样式（方正仿宋简）"/>
    <w:basedOn w:val="1"/>
    <w:qFormat/>
    <w:uiPriority w:val="0"/>
    <w:pPr>
      <w:spacing w:line="560" w:lineRule="exact"/>
      <w:ind w:firstLine="640" w:firstLineChars="200"/>
    </w:pPr>
    <w:rPr>
      <w:rFonts w:eastAsia="方正仿宋简体"/>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2021-02-26T06:32:00Z</dcterms:created>
  <dc:creator>云中漫步</dc:creator>
  <cp:lastModifiedBy>Administrator</cp:lastModifiedBy>
  <cp:lastPrinted>2021-03-04T01:42:00Z</cp:lastPrinted>
  <dcterms:modified xsi:type="dcterms:W3CDTF">2021-03-05T01:50:46Z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